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bcyc-20260630x10q.htm"/>
        <w:bookmarkStart w:id="1" w:name="ksbcyc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34"/>
        </w:rPr>
      </w:pPr>
      <w:bookmarkStart w:id="2" w:name="_b75e3d31_4374_49d5_83a9_2eea06bb79b8"/>
      <w:bookmarkEnd w:id="2"/>
      <w:r>
        <w:rPr>
          <w:rFonts w:ascii="Times New Roman;Times;serif" w:hAnsi="Times New Roman;Times;serif"/>
          <w:b/>
          <w:sz w:val="34"/>
        </w:rPr>
        <w:t>UNITED STATES</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SECURITIES AND EXCHANGE COMMISSION</w:t>
      </w:r>
    </w:p>
    <w:p>
      <w:pPr>
        <w:pStyle w:val="TextBody"/>
        <w:bidi w:val="0"/>
        <w:spacing w:before="0" w:after="80"/>
        <w:ind w:left="0" w:right="0" w:hanging="0"/>
        <w:jc w:val="center"/>
        <w:rPr>
          <w:rFonts w:ascii="Times New Roman;Times;serif" w:hAnsi="Times New Roman;Times;serif"/>
          <w:sz w:val="18"/>
        </w:rPr>
      </w:pPr>
      <w:r>
        <w:rPr>
          <w:rFonts w:ascii="Times New Roman;Times;serif" w:hAnsi="Times New Roman;Times;serif"/>
          <w:b/>
          <w:sz w:val="18"/>
        </w:rPr>
        <w:t>WASHINGTON</w:t>
      </w:r>
      <w:r>
        <w:rPr>
          <w:rFonts w:ascii="Times New Roman;Times;serif" w:hAnsi="Times New Roman;Times;serif"/>
          <w:sz w:val="18"/>
        </w:rPr>
        <w:t xml:space="preserve">, </w:t>
      </w:r>
      <w:r>
        <w:rPr>
          <w:rFonts w:ascii="Times New Roman;Times;serif" w:hAnsi="Times New Roman;Times;serif"/>
          <w:b/>
          <w:sz w:val="18"/>
        </w:rPr>
        <w:t>DC 20549</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FORM 10-Q</w:t>
      </w:r>
    </w:p>
    <w:p>
      <w:pPr>
        <w:pStyle w:val="TextBody"/>
        <w:bidi w:val="0"/>
        <w:spacing w:before="0" w:after="40"/>
        <w:ind w:left="0" w:right="0" w:hanging="0"/>
        <w:jc w:val="left"/>
        <w:rPr>
          <w:rFonts w:ascii="Times New Roman;Times;serif" w:hAnsi="Times New Roman;Times;serif"/>
          <w:sz w:val="18"/>
        </w:rPr>
      </w:pPr>
      <w:r>
        <w:rPr>
          <w:rFonts w:ascii="Times New Roman;Times;serif" w:hAnsi="Times New Roman;Times;serif"/>
          <w:sz w:val="18"/>
        </w:rPr>
        <w:t>(</w:t>
      </w:r>
      <w:r>
        <w:rPr>
          <w:rFonts w:ascii="Times New Roman;Times;serif" w:hAnsi="Times New Roman;Times;serif"/>
          <w:b/>
          <w:sz w:val="18"/>
        </w:rPr>
        <w:t>Mark One</w:t>
      </w:r>
      <w:r>
        <w:rPr>
          <w:rFonts w:ascii="Times New Roman;Times;serif" w:hAnsi="Times New Roman;Times;serif"/>
          <w:sz w:val="18"/>
        </w:rPr>
        <w:t>)</w:t>
      </w:r>
    </w:p>
    <w:tbl>
      <w:tblPr>
        <w:tblW w:w="9752" w:type="dxa"/>
        <w:jc w:val="left"/>
        <w:tblInd w:w="0" w:type="dxa"/>
        <w:tblLayout w:type="fixed"/>
        <w:tblCellMar>
          <w:top w:w="0" w:type="dxa"/>
          <w:left w:w="0" w:type="dxa"/>
          <w:bottom w:w="0" w:type="dxa"/>
          <w:right w:w="0" w:type="dxa"/>
        </w:tblCellMar>
      </w:tblPr>
      <w:tblGrid>
        <w:gridCol w:w="331"/>
        <w:gridCol w:w="9421"/>
      </w:tblGrid>
      <w:tr>
        <w:trPr/>
        <w:tc>
          <w:tcPr>
            <w:tcW w:w="331" w:type="dxa"/>
            <w:tcBorders/>
            <w:vAlign w:val="center"/>
          </w:tcPr>
          <w:p>
            <w:pPr>
              <w:pStyle w:val="TableContents"/>
              <w:bidi w:val="0"/>
              <w:spacing w:before="0" w:after="80"/>
              <w:jc w:val="left"/>
              <w:rPr/>
            </w:pPr>
            <w:r>
              <w:rPr/>
              <w:t>☒</w:t>
            </w:r>
          </w:p>
        </w:tc>
        <w:tc>
          <w:tcPr>
            <w:tcW w:w="9421" w:type="dxa"/>
            <w:tcBorders/>
            <w:vAlign w:val="center"/>
          </w:tcPr>
          <w:p>
            <w:pPr>
              <w:pStyle w:val="TableContents"/>
              <w:bidi w:val="0"/>
              <w:spacing w:before="0" w:after="80"/>
              <w:jc w:val="left"/>
              <w:rPr>
                <w:rFonts w:ascii="Times New Roman;Times;serif" w:hAnsi="Times New Roman;Times;serif"/>
                <w:b/>
                <w:sz w:val="18"/>
              </w:rPr>
            </w:pPr>
            <w:r>
              <w:rPr>
                <w:rFonts w:ascii="Times New Roman;Times;serif" w:hAnsi="Times New Roman;Times;serif"/>
                <w:b/>
                <w:sz w:val="18"/>
              </w:rPr>
              <w:t>QUARTERLY REPORT PURSUANT TO SECTION 13 OR 15(d) OF THE SECURITIES EXCHANGE ACT OF 1934</w:t>
            </w:r>
          </w:p>
        </w:tc>
      </w:tr>
    </w:tbl>
    <w:p>
      <w:pPr>
        <w:pStyle w:val="TextBody"/>
        <w:bidi w:val="0"/>
        <w:spacing w:before="0" w:after="80"/>
        <w:ind w:left="0" w:right="0" w:hanging="0"/>
        <w:jc w:val="center"/>
        <w:rPr>
          <w:rFonts w:ascii="Times New Roman;Times;serif" w:hAnsi="Times New Roman;Times;serif"/>
          <w:b/>
          <w:sz w:val="18"/>
        </w:rPr>
      </w:pPr>
      <w:r>
        <w:rPr>
          <w:rFonts w:ascii="Times New Roman;Times;serif" w:hAnsi="Times New Roman;Times;serif"/>
          <w:b/>
          <w:sz w:val="18"/>
        </w:rPr>
        <w:t>For the quarterly period ended June 30, 2026</w:t>
      </w:r>
    </w:p>
    <w:p>
      <w:pPr>
        <w:pStyle w:val="TextBody"/>
        <w:bidi w:val="0"/>
        <w:spacing w:before="0" w:after="80"/>
        <w:ind w:left="0" w:right="0" w:hanging="0"/>
        <w:jc w:val="center"/>
        <w:rPr>
          <w:rFonts w:ascii="Times New Roman;Times;serif" w:hAnsi="Times New Roman;Times;serif"/>
          <w:b/>
          <w:sz w:val="18"/>
        </w:rPr>
      </w:pPr>
      <w:r>
        <w:rPr>
          <w:rFonts w:ascii="Times New Roman;Times;serif" w:hAnsi="Times New Roman;Times;serif"/>
          <w:b/>
          <w:sz w:val="18"/>
        </w:rPr>
        <w:t>OR</w:t>
      </w:r>
    </w:p>
    <w:tbl>
      <w:tblPr>
        <w:tblW w:w="9752" w:type="dxa"/>
        <w:jc w:val="left"/>
        <w:tblInd w:w="0" w:type="dxa"/>
        <w:tblLayout w:type="fixed"/>
        <w:tblCellMar>
          <w:top w:w="0" w:type="dxa"/>
          <w:left w:w="0" w:type="dxa"/>
          <w:bottom w:w="0" w:type="dxa"/>
          <w:right w:w="0" w:type="dxa"/>
        </w:tblCellMar>
      </w:tblPr>
      <w:tblGrid>
        <w:gridCol w:w="331"/>
        <w:gridCol w:w="9421"/>
      </w:tblGrid>
      <w:tr>
        <w:trPr/>
        <w:tc>
          <w:tcPr>
            <w:tcW w:w="331" w:type="dxa"/>
            <w:tcBorders/>
            <w:vAlign w:val="center"/>
          </w:tcPr>
          <w:p>
            <w:pPr>
              <w:pStyle w:val="TableContents"/>
              <w:bidi w:val="0"/>
              <w:spacing w:before="0" w:after="80"/>
              <w:jc w:val="left"/>
              <w:rPr/>
            </w:pPr>
            <w:r>
              <w:rPr/>
              <w:t>☐</w:t>
            </w:r>
          </w:p>
        </w:tc>
        <w:tc>
          <w:tcPr>
            <w:tcW w:w="9421" w:type="dxa"/>
            <w:tcBorders/>
            <w:vAlign w:val="center"/>
          </w:tcPr>
          <w:p>
            <w:pPr>
              <w:pStyle w:val="TableContents"/>
              <w:bidi w:val="0"/>
              <w:spacing w:before="0" w:after="80"/>
              <w:jc w:val="left"/>
              <w:rPr>
                <w:rFonts w:ascii="Times New Roman;Times;serif" w:hAnsi="Times New Roman;Times;serif"/>
                <w:b/>
                <w:sz w:val="18"/>
              </w:rPr>
            </w:pPr>
            <w:r>
              <w:rPr>
                <w:rFonts w:ascii="Times New Roman;Times;serif" w:hAnsi="Times New Roman;Times;serif"/>
                <w:b/>
                <w:sz w:val="18"/>
              </w:rPr>
              <w:t>TRANSITION REPORT PURSUANT TO SECTION 13 OR 15(d) OF THE SECURITIES EXCHANGE ACT OF 1934</w:t>
            </w:r>
          </w:p>
        </w:tc>
      </w:tr>
    </w:tbl>
    <w:p>
      <w:pPr>
        <w:pStyle w:val="TextBody"/>
        <w:bidi w:val="0"/>
        <w:spacing w:before="0" w:after="80"/>
        <w:ind w:left="0" w:right="0" w:hanging="0"/>
        <w:jc w:val="center"/>
        <w:rPr>
          <w:rFonts w:ascii="Times New Roman;Times;serif" w:hAnsi="Times New Roman;Times;serif"/>
          <w:b/>
          <w:sz w:val="18"/>
        </w:rPr>
      </w:pPr>
      <w:r>
        <w:rPr>
          <w:rFonts w:ascii="Times New Roman;Times;serif" w:hAnsi="Times New Roman;Times;serif"/>
          <w:b/>
          <w:sz w:val="18"/>
        </w:rPr>
        <w:t>For the transition period from                to               </w:t>
      </w:r>
    </w:p>
    <w:p>
      <w:pPr>
        <w:pStyle w:val="TextBody"/>
        <w:bidi w:val="0"/>
        <w:spacing w:before="0" w:after="80"/>
        <w:ind w:left="0" w:right="0" w:hanging="0"/>
        <w:jc w:val="center"/>
        <w:rPr>
          <w:rFonts w:ascii="Times New Roman;Times;serif" w:hAnsi="Times New Roman;Times;serif"/>
          <w:sz w:val="20"/>
        </w:rPr>
      </w:pPr>
      <w:r>
        <w:rPr>
          <w:rFonts w:ascii="Times New Roman;Times;serif" w:hAnsi="Times New Roman;Times;serif"/>
          <w:b/>
          <w:sz w:val="18"/>
        </w:rPr>
        <w:t>Commission File Number</w:t>
      </w:r>
      <w:r>
        <w:rPr>
          <w:rFonts w:ascii="Times New Roman;Times;serif" w:hAnsi="Times New Roman;Times;serif"/>
          <w:sz w:val="18"/>
        </w:rPr>
        <w:t xml:space="preserve">: </w:t>
      </w:r>
      <w:r>
        <w:rPr>
          <w:rFonts w:ascii="Times New Roman;Times;serif" w:hAnsi="Times New Roman;Times;serif"/>
          <w:b/>
          <w:sz w:val="18"/>
        </w:rPr>
        <w:t>001-38916</w:t>
      </w:r>
    </w:p>
    <w:p>
      <w:pPr>
        <w:pStyle w:val="TextBody"/>
        <w:bidi w:val="0"/>
        <w:spacing w:before="0" w:after="0"/>
        <w:ind w:left="0" w:right="0" w:hanging="0"/>
        <w:jc w:val="center"/>
        <w:rPr>
          <w:rFonts w:ascii="Times New Roman;Times;serif" w:hAnsi="Times New Roman;Times;serif"/>
          <w:b/>
          <w:sz w:val="46"/>
        </w:rPr>
      </w:pPr>
      <w:r>
        <w:rPr>
          <w:rFonts w:ascii="Times New Roman;Times;serif" w:hAnsi="Times New Roman;Times;serif"/>
          <w:b/>
          <w:sz w:val="46"/>
        </w:rPr>
        <w:t>Bicycle Therapeutics plc</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 w:name="Tc_EsCy-16-aEuKz2ByiFksyA_5_2"/>
      <w:bookmarkStart w:id="4" w:name="Tc_0yUfPMYTtE6LK7O9cuKYug_5_0"/>
      <w:bookmarkStart w:id="5" w:name="Tc_jWlERvFNmUmKuJKTmR5Zfg_4_0"/>
      <w:bookmarkStart w:id="6" w:name="Tc_i7f9D-S8i06dKSMgp4ulmg_2_2"/>
      <w:bookmarkStart w:id="7" w:name="Tc_Kl8WCnpXME2ua3STJbMj6w_2_0"/>
      <w:bookmarkStart w:id="8" w:name="_481e4aea_9987_4c2f_a3c0_8073f9ffeabc"/>
      <w:bookmarkStart w:id="9" w:name="Tc_EsCy-16-aEuKz2ByiFksyA_5_2"/>
      <w:bookmarkStart w:id="10" w:name="Tc_0yUfPMYTtE6LK7O9cuKYug_5_0"/>
      <w:bookmarkStart w:id="11" w:name="Tc_jWlERvFNmUmKuJKTmR5Zfg_4_0"/>
      <w:bookmarkStart w:id="12" w:name="Tc_i7f9D-S8i06dKSMgp4ulmg_2_2"/>
      <w:bookmarkStart w:id="13" w:name="Tc_Kl8WCnpXME2ua3STJbMj6w_2_0"/>
      <w:bookmarkStart w:id="14" w:name="_481e4aea_9987_4c2f_a3c0_8073f9ffeabc"/>
      <w:bookmarkEnd w:id="9"/>
      <w:bookmarkEnd w:id="10"/>
      <w:bookmarkEnd w:id="11"/>
      <w:bookmarkEnd w:id="12"/>
      <w:bookmarkEnd w:id="13"/>
      <w:bookmarkEnd w:id="14"/>
    </w:p>
    <w:tbl>
      <w:tblPr>
        <w:tblW w:w="5478" w:type="dxa"/>
        <w:jc w:val="left"/>
        <w:tblInd w:w="0" w:type="dxa"/>
        <w:tblLayout w:type="fixed"/>
        <w:tblCellMar>
          <w:top w:w="0" w:type="dxa"/>
          <w:left w:w="0" w:type="dxa"/>
          <w:bottom w:w="0" w:type="dxa"/>
          <w:right w:w="0" w:type="dxa"/>
        </w:tblCellMar>
      </w:tblPr>
      <w:tblGrid>
        <w:gridCol w:w="3676"/>
        <w:gridCol w:w="346"/>
        <w:gridCol w:w="1456"/>
      </w:tblGrid>
      <w:tr>
        <w:trPr/>
        <w:tc>
          <w:tcPr>
            <w:tcW w:w="3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England and Wales</w:t>
            </w:r>
          </w:p>
        </w:tc>
        <w:tc>
          <w:tcPr>
            <w:tcW w:w="346" w:type="dxa"/>
            <w:tcBorders/>
            <w:vAlign w:val="center"/>
          </w:tcPr>
          <w:p>
            <w:pPr>
              <w:pStyle w:val="TableContents"/>
              <w:bidi w:val="0"/>
              <w:spacing w:before="0" w:after="0"/>
              <w:ind w:left="0" w:right="0" w:hanging="0"/>
              <w:jc w:val="left"/>
              <w:rPr/>
            </w:pPr>
            <w:r>
              <w:rPr/>
              <w:t>  ​ ​ ​</w:t>
            </w:r>
          </w:p>
        </w:tc>
        <w:tc>
          <w:tcPr>
            <w:tcW w:w="1456"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Not Applicable</w:t>
            </w:r>
          </w:p>
        </w:tc>
      </w:tr>
      <w:tr>
        <w:trPr/>
        <w:tc>
          <w:tcPr>
            <w:tcW w:w="367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(State or other jurisdiction of</w:t>
              <w:br/>
              <w:t>incorporation or organization)</w:t>
            </w:r>
          </w:p>
        </w:tc>
        <w:tc>
          <w:tcPr>
            <w:tcW w:w="346" w:type="dxa"/>
            <w:tcBorders/>
            <w:vAlign w:val="center"/>
          </w:tcPr>
          <w:p>
            <w:pPr>
              <w:pStyle w:val="TableContents"/>
              <w:bidi w:val="0"/>
              <w:spacing w:before="0" w:after="24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w:t>
              <w:br/>
              <w:t>Identification No.)</w:t>
            </w:r>
          </w:p>
        </w:tc>
      </w:tr>
      <w:tr>
        <w:trPr/>
        <w:tc>
          <w:tcPr>
            <w:tcW w:w="3676" w:type="dxa"/>
            <w:tcBorders/>
            <w:vAlign w:val="center"/>
          </w:tcPr>
          <w:p>
            <w:pPr>
              <w:pStyle w:val="TableContents"/>
              <w:bidi w:val="0"/>
              <w:spacing w:before="0" w:after="240"/>
              <w:ind w:left="0" w:right="0" w:hanging="0"/>
              <w:jc w:val="center"/>
              <w:rPr/>
            </w:pPr>
            <w:r>
              <w:rPr/>
              <w:t>​</w:t>
            </w:r>
          </w:p>
        </w:tc>
        <w:tc>
          <w:tcPr>
            <w:tcW w:w="346" w:type="dxa"/>
            <w:tcBorders/>
            <w:vAlign w:val="center"/>
          </w:tcPr>
          <w:p>
            <w:pPr>
              <w:pStyle w:val="TableContents"/>
              <w:bidi w:val="0"/>
              <w:spacing w:before="0" w:after="240"/>
              <w:ind w:left="0" w:right="0" w:hanging="0"/>
              <w:jc w:val="left"/>
              <w:rPr/>
            </w:pPr>
            <w:r>
              <w:rPr/>
              <w:t>​</w:t>
            </w:r>
          </w:p>
        </w:tc>
        <w:tc>
          <w:tcPr>
            <w:tcW w:w="1456" w:type="dxa"/>
            <w:tcBorders/>
            <w:vAlign w:val="center"/>
          </w:tcPr>
          <w:p>
            <w:pPr>
              <w:pStyle w:val="TableContents"/>
              <w:bidi w:val="0"/>
              <w:spacing w:before="0" w:after="240"/>
              <w:ind w:left="0" w:right="0" w:hanging="0"/>
              <w:jc w:val="center"/>
              <w:rPr/>
            </w:pPr>
            <w:r>
              <w:rPr/>
              <w:t>​</w:t>
            </w:r>
          </w:p>
        </w:tc>
      </w:tr>
      <w:tr>
        <w:trPr/>
        <w:tc>
          <w:tcPr>
            <w:tcW w:w="36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Blocks A &amp; B, Portway Building, Granta Park</w:t>
            </w:r>
            <w:r>
              <w:rPr>
                <w:rFonts w:ascii="Times New Roman;Times;serif" w:hAnsi="Times New Roman;Times;serif"/>
                <w:sz w:val="18"/>
              </w:rPr>
              <w:br/>
            </w:r>
            <w:r>
              <w:rPr>
                <w:rFonts w:ascii="Times New Roman;Times;serif" w:hAnsi="Times New Roman;Times;serif"/>
                <w:b/>
                <w:sz w:val="18"/>
              </w:rPr>
              <w:t>Great Abington, Cambridge,</w:t>
            </w:r>
            <w:r>
              <w:rPr>
                <w:rFonts w:ascii="Times New Roman;Times;serif" w:hAnsi="Times New Roman;Times;serif"/>
                <w:sz w:val="20"/>
              </w:rPr>
              <w:t xml:space="preserve"> </w:t>
            </w:r>
            <w:r>
              <w:rPr>
                <w:rFonts w:ascii="Times New Roman;Times;serif" w:hAnsi="Times New Roman;Times;serif"/>
                <w:b/>
                <w:sz w:val="18"/>
              </w:rPr>
              <w:t>United Kingdom</w:t>
            </w:r>
          </w:p>
        </w:tc>
        <w:tc>
          <w:tcPr>
            <w:tcW w:w="34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CB21 6GS</w:t>
            </w:r>
          </w:p>
        </w:tc>
      </w:tr>
      <w:tr>
        <w:trPr/>
        <w:tc>
          <w:tcPr>
            <w:tcW w:w="367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tc>
        <w:tc>
          <w:tcPr>
            <w:tcW w:w="346" w:type="dxa"/>
            <w:tcBorders/>
            <w:vAlign w:val="center"/>
          </w:tcPr>
          <w:p>
            <w:pPr>
              <w:pStyle w:val="TableContents"/>
              <w:bidi w:val="0"/>
              <w:spacing w:before="0" w:after="24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 xml:space="preserve">Registrant’s telephone number, including area code: </w:t>
      </w:r>
      <w:r>
        <w:rPr>
          <w:rFonts w:ascii="Times New Roman;Times;serif" w:hAnsi="Times New Roman;Times;serif"/>
          <w:b/>
          <w:sz w:val="18"/>
        </w:rPr>
        <w:t>+44</w:t>
      </w:r>
      <w:r>
        <w:rPr>
          <w:rFonts w:ascii="Times New Roman;Times;serif" w:hAnsi="Times New Roman;Times;serif"/>
          <w:sz w:val="20"/>
        </w:rPr>
        <w:t xml:space="preserve"> </w:t>
      </w:r>
      <w:r>
        <w:rPr>
          <w:rFonts w:ascii="Times New Roman;Times;serif" w:hAnsi="Times New Roman;Times;serif"/>
          <w:b/>
          <w:sz w:val="18"/>
        </w:rPr>
        <w:t>1223 261503</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b/>
          <w:sz w:val="18"/>
        </w:rPr>
        <w:t>Securities registered pursuant to Section 12</w:t>
      </w:r>
      <w:r>
        <w:rPr>
          <w:rFonts w:ascii="Times New Roman;Times;serif" w:hAnsi="Times New Roman;Times;serif"/>
          <w:sz w:val="18"/>
        </w:rPr>
        <w:t>(</w:t>
      </w:r>
      <w:r>
        <w:rPr>
          <w:rFonts w:ascii="Times New Roman;Times;serif" w:hAnsi="Times New Roman;Times;serif"/>
          <w:b/>
          <w:sz w:val="18"/>
        </w:rPr>
        <w:t>b</w:t>
      </w:r>
      <w:r>
        <w:rPr>
          <w:rFonts w:ascii="Times New Roman;Times;serif" w:hAnsi="Times New Roman;Times;serif"/>
          <w:sz w:val="18"/>
        </w:rPr>
        <w:t>) </w:t>
      </w:r>
      <w:r>
        <w:rPr>
          <w:rFonts w:ascii="Times New Roman;Times;serif" w:hAnsi="Times New Roman;Times;serif"/>
          <w:b/>
          <w:sz w:val="18"/>
        </w:rPr>
        <w:t>of the Act</w:t>
      </w:r>
      <w:r>
        <w:rPr>
          <w:rFonts w:ascii="Times New Roman;Times;serif" w:hAnsi="Times New Roman;Times;serif"/>
          <w:sz w:val="18"/>
        </w:rPr>
        <w: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5" w:name="Tc__HnRV9WG3Ua3Ef4qvlc2Fw_1_4"/>
      <w:bookmarkStart w:id="16" w:name="Tc_tgvcJm0320O4ZuFfNn7Qmw_1_2"/>
      <w:bookmarkStart w:id="17" w:name="Tc_DfNVFMijSUSmU3fkwRwDAg_1_0"/>
      <w:bookmarkStart w:id="18" w:name="_f532f289_239a_4f0d_afec_4650ff8c30ac"/>
      <w:bookmarkStart w:id="19" w:name="Tc__HnRV9WG3Ua3Ef4qvlc2Fw_1_4"/>
      <w:bookmarkStart w:id="20" w:name="Tc_tgvcJm0320O4ZuFfNn7Qmw_1_2"/>
      <w:bookmarkStart w:id="21" w:name="Tc_DfNVFMijSUSmU3fkwRwDAg_1_0"/>
      <w:bookmarkStart w:id="22" w:name="_f532f289_239a_4f0d_afec_4650ff8c30ac"/>
      <w:bookmarkEnd w:id="19"/>
      <w:bookmarkEnd w:id="20"/>
      <w:bookmarkEnd w:id="21"/>
      <w:bookmarkEnd w:id="22"/>
    </w:p>
    <w:tbl>
      <w:tblPr>
        <w:tblW w:w="10205" w:type="dxa"/>
        <w:jc w:val="left"/>
        <w:tblInd w:w="0" w:type="dxa"/>
        <w:tblLayout w:type="fixed"/>
        <w:tblCellMar>
          <w:top w:w="0" w:type="dxa"/>
          <w:left w:w="0" w:type="dxa"/>
          <w:bottom w:w="0" w:type="dxa"/>
          <w:right w:w="0" w:type="dxa"/>
        </w:tblCellMar>
      </w:tblPr>
      <w:tblGrid>
        <w:gridCol w:w="5720"/>
        <w:gridCol w:w="346"/>
        <w:gridCol w:w="1091"/>
        <w:gridCol w:w="346"/>
        <w:gridCol w:w="2702"/>
      </w:tblGrid>
      <w:tr>
        <w:trPr/>
        <w:tc>
          <w:tcPr>
            <w:tcW w:w="572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02" w:type="dxa"/>
            <w:tcBorders/>
            <w:vAlign w:val="center"/>
          </w:tcPr>
          <w:p>
            <w:pPr>
              <w:pStyle w:val="TableContents"/>
              <w:bidi w:val="0"/>
              <w:spacing w:before="0" w:after="0"/>
              <w:ind w:left="0" w:right="0" w:hanging="0"/>
              <w:jc w:val="left"/>
              <w:rPr/>
            </w:pPr>
            <w:r>
              <w:rPr/>
              <w:t>​</w:t>
            </w:r>
          </w:p>
        </w:tc>
      </w:tr>
      <w:tr>
        <w:trPr/>
        <w:tc>
          <w:tcPr>
            <w:tcW w:w="572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Title of each class</w:t>
            </w:r>
          </w:p>
        </w:tc>
        <w:tc>
          <w:tcPr>
            <w:tcW w:w="346" w:type="dxa"/>
            <w:tcBorders/>
            <w:vAlign w:val="center"/>
          </w:tcPr>
          <w:p>
            <w:pPr>
              <w:pStyle w:val="TableContents"/>
              <w:bidi w:val="0"/>
              <w:spacing w:before="0" w:after="0"/>
              <w:ind w:left="0" w:right="0" w:hanging="0"/>
              <w:jc w:val="left"/>
              <w:rPr/>
            </w:pPr>
            <w:r>
              <w:rPr/>
              <w:t>  ​ ​ ​</w:t>
            </w:r>
          </w:p>
        </w:tc>
        <w:tc>
          <w:tcPr>
            <w:tcW w:w="10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Trading Symbol(s)</w:t>
            </w:r>
          </w:p>
        </w:tc>
        <w:tc>
          <w:tcPr>
            <w:tcW w:w="346" w:type="dxa"/>
            <w:tcBorders/>
            <w:vAlign w:val="center"/>
          </w:tcPr>
          <w:p>
            <w:pPr>
              <w:pStyle w:val="TableContents"/>
              <w:bidi w:val="0"/>
              <w:spacing w:before="0" w:after="0"/>
              <w:ind w:left="0" w:right="0" w:hanging="0"/>
              <w:jc w:val="left"/>
              <w:rPr/>
            </w:pPr>
            <w:r>
              <w:rPr/>
              <w:t>  ​ ​ ​</w:t>
            </w:r>
          </w:p>
        </w:tc>
        <w:tc>
          <w:tcPr>
            <w:tcW w:w="270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Name of each exchange on which registered</w:t>
            </w:r>
          </w:p>
        </w:tc>
      </w:tr>
      <w:tr>
        <w:trPr/>
        <w:tc>
          <w:tcPr>
            <w:tcW w:w="5720"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Ordinary shares, nominal value £0.01 per share*</w:t>
            </w:r>
          </w:p>
        </w:tc>
        <w:tc>
          <w:tcPr>
            <w:tcW w:w="346" w:type="dxa"/>
            <w:tcBorders/>
            <w:vAlign w:val="center"/>
          </w:tcPr>
          <w:p>
            <w:pPr>
              <w:pStyle w:val="TableContents"/>
              <w:bidi w:val="0"/>
              <w:spacing w:before="0" w:after="240"/>
              <w:ind w:left="0" w:right="0" w:hanging="0"/>
              <w:jc w:val="left"/>
              <w:rPr/>
            </w:pPr>
            <w:r>
              <w:rPr/>
              <w:t>​</w:t>
            </w:r>
          </w:p>
        </w:tc>
        <w:tc>
          <w:tcPr>
            <w:tcW w:w="109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n/a</w:t>
            </w:r>
          </w:p>
        </w:tc>
        <w:tc>
          <w:tcPr>
            <w:tcW w:w="346" w:type="dxa"/>
            <w:tcBorders/>
            <w:vAlign w:val="center"/>
          </w:tcPr>
          <w:p>
            <w:pPr>
              <w:pStyle w:val="TableContents"/>
              <w:bidi w:val="0"/>
              <w:spacing w:before="0" w:after="240"/>
              <w:ind w:left="0" w:right="0" w:hanging="0"/>
              <w:jc w:val="left"/>
              <w:rPr/>
            </w:pPr>
            <w:r>
              <w:rPr/>
              <w:t>​</w:t>
            </w:r>
          </w:p>
        </w:tc>
        <w:tc>
          <w:tcPr>
            <w:tcW w:w="2702"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The Nasdaq Stock Market LLC</w:t>
            </w:r>
          </w:p>
        </w:tc>
      </w:tr>
      <w:tr>
        <w:trPr/>
        <w:tc>
          <w:tcPr>
            <w:tcW w:w="572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American Depositary Shares, each representing one ordinary share, nominal value £0.01 per share</w:t>
            </w:r>
          </w:p>
        </w:tc>
        <w:tc>
          <w:tcPr>
            <w:tcW w:w="346" w:type="dxa"/>
            <w:tcBorders/>
            <w:vAlign w:val="center"/>
          </w:tcPr>
          <w:p>
            <w:pPr>
              <w:pStyle w:val="TableContents"/>
              <w:bidi w:val="0"/>
              <w:spacing w:before="0" w:after="240"/>
              <w:ind w:left="0" w:right="0" w:hanging="0"/>
              <w:jc w:val="left"/>
              <w:rPr/>
            </w:pPr>
            <w:r>
              <w:rPr/>
              <w:t>​</w:t>
            </w:r>
          </w:p>
        </w:tc>
        <w:tc>
          <w:tcPr>
            <w:tcW w:w="109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BCYC</w:t>
            </w:r>
          </w:p>
        </w:tc>
        <w:tc>
          <w:tcPr>
            <w:tcW w:w="346" w:type="dxa"/>
            <w:tcBorders/>
            <w:vAlign w:val="center"/>
          </w:tcPr>
          <w:p>
            <w:pPr>
              <w:pStyle w:val="TableContents"/>
              <w:bidi w:val="0"/>
              <w:spacing w:before="0" w:after="240"/>
              <w:ind w:left="0" w:right="0" w:hanging="0"/>
              <w:jc w:val="left"/>
              <w:rPr/>
            </w:pPr>
            <w:r>
              <w:rPr/>
              <w:t>​</w:t>
            </w:r>
          </w:p>
        </w:tc>
        <w:tc>
          <w:tcPr>
            <w:tcW w:w="2702"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The Nasdaq Stock Market LLC</w:t>
            </w:r>
          </w:p>
        </w:tc>
      </w:tr>
    </w:tbl>
    <w:p>
      <w:pPr>
        <w:pStyle w:val="TextBody"/>
        <w:bidi w:val="0"/>
        <w:spacing w:before="0" w:after="0"/>
        <w:ind w:left="0" w:right="0" w:hanging="0"/>
        <w:jc w:val="left"/>
        <w:rPr/>
      </w:pPr>
      <w:r>
        <w:rPr/>
        <w:t>​</w:t>
      </w:r>
    </w:p>
    <w:p>
      <w:pPr>
        <w:pStyle w:val="TextBody"/>
        <w:pBdr/>
        <w:bidi w:val="0"/>
        <w:spacing w:before="0" w:after="80"/>
        <w:ind w:left="0" w:right="0" w:hanging="360"/>
        <w:jc w:val="left"/>
        <w:rPr>
          <w:rFonts w:ascii="Times New Roman;Times;serif" w:hAnsi="Times New Roman;Times;serif"/>
          <w:sz w:val="18"/>
        </w:rPr>
      </w:pPr>
      <w:r>
        <w:rPr>
          <w:rFonts w:ascii="Times New Roman;Times;serif" w:hAnsi="Times New Roman;Times;serif"/>
          <w:b/>
          <w:sz w:val="18"/>
        </w:rPr>
        <w:t>* </w:t>
      </w:r>
      <w:r>
        <w:rPr>
          <w:rFonts w:ascii="Times New Roman;Times;serif" w:hAnsi="Times New Roman;Times;serif"/>
          <w:sz w:val="18"/>
        </w:rPr>
        <w:t>Not for trading, but only in connection with the listing of the American Depositary Shares on the Nasdaq Global Select Market.</w:t>
      </w:r>
    </w:p>
    <w:p>
      <w:pPr>
        <w:pStyle w:val="TextBody"/>
        <w:bidi w:val="0"/>
        <w:spacing w:before="0" w:after="80"/>
        <w:ind w:left="0" w:right="0" w:hanging="0"/>
        <w:jc w:val="left"/>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80"/>
        <w:ind w:left="0" w:right="0" w:hanging="0"/>
        <w:jc w:val="left"/>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40"/>
        <w:ind w:left="0" w:right="0" w:hanging="0"/>
        <w:jc w:val="left"/>
        <w:rPr/>
      </w:pPr>
      <w:r>
        <w:rPr/>
        <w:t>​</w:t>
      </w:r>
    </w:p>
    <w:tbl>
      <w:tblPr>
        <w:tblW w:w="4232" w:type="dxa"/>
        <w:jc w:val="left"/>
        <w:tblInd w:w="0" w:type="dxa"/>
        <w:tblLayout w:type="fixed"/>
        <w:tblCellMar>
          <w:top w:w="0" w:type="dxa"/>
          <w:left w:w="0" w:type="dxa"/>
          <w:bottom w:w="0" w:type="dxa"/>
          <w:right w:w="0" w:type="dxa"/>
        </w:tblCellMar>
      </w:tblPr>
      <w:tblGrid>
        <w:gridCol w:w="1876"/>
        <w:gridCol w:w="2356"/>
      </w:tblGrid>
      <w:tr>
        <w:trPr/>
        <w:tc>
          <w:tcPr>
            <w:tcW w:w="1876" w:type="dxa"/>
            <w:tcBorders/>
            <w:vAlign w:val="center"/>
          </w:tcPr>
          <w:p>
            <w:pPr>
              <w:pStyle w:val="TableContents"/>
              <w:bidi w:val="0"/>
              <w:spacing w:before="0" w:after="0"/>
              <w:ind w:left="0" w:right="0" w:hanging="0"/>
              <w:jc w:val="left"/>
              <w:rPr/>
            </w:pPr>
            <w:r>
              <w:rPr/>
              <w:t>​</w:t>
            </w:r>
          </w:p>
        </w:tc>
        <w:tc>
          <w:tcPr>
            <w:tcW w:w="2356" w:type="dxa"/>
            <w:tcBorders/>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Large accelerated filer ☐</w:t>
            </w:r>
          </w:p>
        </w:tc>
        <w:tc>
          <w:tcPr>
            <w:tcW w:w="23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Accelerated filer ☐</w:t>
            </w:r>
          </w:p>
        </w:tc>
      </w:tr>
      <w:tr>
        <w:trPr/>
        <w:tc>
          <w:tcPr>
            <w:tcW w:w="1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8"/>
              </w:rPr>
              <w:t>Non-accelerated filer</w:t>
            </w:r>
            <w:r>
              <w:rPr>
                <w:rFonts w:ascii="Times New Roman;Times;serif" w:hAnsi="Times New Roman;Times;serif"/>
                <w:sz w:val="20"/>
              </w:rPr>
              <w:t> ⌧</w:t>
            </w:r>
          </w:p>
        </w:tc>
        <w:tc>
          <w:tcPr>
            <w:tcW w:w="23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18"/>
              </w:rPr>
              <w:t xml:space="preserve">Smaller reporting company </w:t>
            </w:r>
            <w:r>
              <w:rPr>
                <w:rFonts w:ascii="Times New Roman;Times;serif" w:hAnsi="Times New Roman;Times;serif"/>
                <w:sz w:val="20"/>
              </w:rPr>
              <w:t>⌧</w:t>
            </w:r>
          </w:p>
        </w:tc>
      </w:tr>
      <w:tr>
        <w:trPr/>
        <w:tc>
          <w:tcPr>
            <w:tcW w:w="1876" w:type="dxa"/>
            <w:tcBorders/>
            <w:vAlign w:val="center"/>
          </w:tcPr>
          <w:p>
            <w:pPr>
              <w:pStyle w:val="TableContents"/>
              <w:bidi w:val="0"/>
              <w:spacing w:before="0" w:after="240"/>
              <w:ind w:left="0" w:right="0" w:hanging="0"/>
              <w:jc w:val="left"/>
              <w:rPr/>
            </w:pPr>
            <w:r>
              <w:rPr/>
              <w:t>​</w:t>
            </w:r>
          </w:p>
        </w:tc>
        <w:tc>
          <w:tcPr>
            <w:tcW w:w="23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18"/>
              </w:rPr>
              <w:t xml:space="preserve">Emerging growth company </w:t>
            </w:r>
            <w:r>
              <w:rPr>
                <w:rFonts w:ascii="Times New Roman;Times;serif" w:hAnsi="Times New Roman;Times;serif"/>
                <w:sz w:val="20"/>
              </w:rPr>
              <w:t xml:space="preserve">☐ </w:t>
            </w:r>
          </w:p>
        </w:tc>
      </w:tr>
    </w:tbl>
    <w:p>
      <w:pPr>
        <w:pStyle w:val="TextBody"/>
        <w:bidi w:val="0"/>
        <w:spacing w:before="0" w:after="0"/>
        <w:ind w:left="0" w:right="0" w:hanging="0"/>
        <w:jc w:val="left"/>
        <w:rPr/>
      </w:pPr>
      <w:r>
        <w:rPr/>
        <w:t>​</w:t>
      </w:r>
    </w:p>
    <w:p>
      <w:pPr>
        <w:pStyle w:val="TextBody"/>
        <w:bidi w:val="0"/>
        <w:spacing w:before="0" w:after="80"/>
        <w:ind w:left="0" w:right="0" w:hanging="0"/>
        <w:jc w:val="left"/>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80"/>
        <w:ind w:left="0" w:right="0" w:hanging="0"/>
        <w:jc w:val="left"/>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0"/>
        <w:ind w:left="0" w:right="0" w:firstLine="720"/>
        <w:jc w:val="left"/>
        <w:rPr>
          <w:rFonts w:ascii="Times New Roman;Times;serif" w:hAnsi="Times New Roman;Times;serif"/>
          <w:sz w:val="18"/>
        </w:rPr>
      </w:pPr>
      <w:r>
        <w:rPr>
          <w:rFonts w:ascii="Times New Roman;Times;serif" w:hAnsi="Times New Roman;Times;serif"/>
          <w:sz w:val="18"/>
        </w:rPr>
        <w:t>As of July 27, 2026, the registrant had 50,554,927 ordinary shares, nominal value £0.01 per share, and 19,437,944 non-voting ordinary shares, nominal value £0.01 per share, outstanding.</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3" w:name="TOC"/>
      <w:bookmarkStart w:id="24" w:name="_1acce340_250b_4223_8829_2b59a70c0d51"/>
      <w:bookmarkEnd w:id="23"/>
      <w:bookmarkEnd w:id="24"/>
      <w:r>
        <w:rPr>
          <w:rFonts w:ascii="Times New Roman;Times;serif" w:hAnsi="Times New Roman;Times;serif"/>
          <w:b/>
          <w:sz w:val="20"/>
        </w:rPr>
        <w:t>Table of Contents</w:t>
      </w:r>
    </w:p>
    <w:tbl>
      <w:tblPr>
        <w:tblW w:w="8688" w:type="dxa"/>
        <w:jc w:val="left"/>
        <w:tblInd w:w="0" w:type="dxa"/>
        <w:tblLayout w:type="fixed"/>
        <w:tblCellMar>
          <w:top w:w="0" w:type="dxa"/>
          <w:left w:w="0" w:type="dxa"/>
          <w:bottom w:w="0" w:type="dxa"/>
          <w:right w:w="0" w:type="dxa"/>
        </w:tblCellMar>
      </w:tblPr>
      <w:tblGrid>
        <w:gridCol w:w="811"/>
        <w:gridCol w:w="7366"/>
        <w:gridCol w:w="511"/>
      </w:tblGrid>
      <w:tr>
        <w:trPr/>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514985" cy="175260"/>
                      <wp:effectExtent l="0" t="0" r="0" b="0"/>
                      <wp:wrapNone/>
                      <wp:docPr id="1" name="Frame1"/>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677410" cy="175260"/>
                      <wp:effectExtent l="0" t="0" r="0" b="0"/>
                      <wp:wrapNone/>
                      <wp:docPr id="2" name="Frame2"/>
                      <a:graphic xmlns:a="http://schemas.openxmlformats.org/drawingml/2006/main">
                        <a:graphicData uri="http://schemas.microsoft.com/office/word/2010/wordprocessingShape">
                          <wps:wsp>
                            <wps:cNvSpPr txBox="1"/>
                            <wps:spPr>
                              <a:xfrm>
                                <a:off x="0" y="0"/>
                                <a:ext cx="4677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324485" cy="29210"/>
                      <wp:effectExtent l="0" t="0" r="0" b="0"/>
                      <wp:wrapNone/>
                      <wp:docPr id="3" name="Frame3"/>
                      <a:graphic xmlns:a="http://schemas.openxmlformats.org/drawingml/2006/main">
                        <a:graphicData uri="http://schemas.microsoft.com/office/word/2010/wordprocessingShape">
                          <wps:wsp>
                            <wps:cNvSpPr txBox="1"/>
                            <wps:spPr>
                              <a:xfrm>
                                <a:off x="0" y="0"/>
                                <a:ext cx="3244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center"/>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8177" w:type="dxa"/>
            <w:gridSpan w:val="2"/>
            <w:tcBorders/>
            <w:vAlign w:val="center"/>
          </w:tcPr>
          <w:p>
            <w:pPr>
              <w:pStyle w:val="TableContents"/>
              <w:pBdr/>
              <w:bidi w:val="0"/>
              <w:spacing w:before="0" w:after="0"/>
              <w:ind w:left="0" w:right="0" w:hanging="0"/>
              <w:jc w:val="left"/>
              <w:rPr/>
            </w:pPr>
            <w:hyperlink w:anchor="PARTIFINANCIALINFORMATION_254070">
              <w:r>
                <w:rPr>
                  <w:rStyle w:val="InternetLink"/>
                  <w:rFonts w:ascii="Times New Roman;Times;serif" w:hAnsi="Times New Roman;Times;serif"/>
                  <w:b/>
                  <w:i w:val="false"/>
                  <w:caps w:val="false"/>
                  <w:smallCaps w:val="false"/>
                  <w:sz w:val="20"/>
                </w:rPr>
                <w:t>PART I - FINANCIAL INFORMATION</w:t>
              </w:r>
            </w:hyperlink>
          </w:p>
        </w:tc>
        <w:tc>
          <w:tcPr>
            <w:tcW w:w="51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pBdr/>
              <w:bidi w:val="0"/>
              <w:spacing w:before="0" w:after="0"/>
              <w:ind w:left="0" w:right="0" w:hanging="0"/>
              <w:jc w:val="left"/>
              <w:rPr/>
            </w:pPr>
            <w:hyperlink w:anchor="Item1FinancialStatements_741172">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rPr/>
            </w:pPr>
            <w:hyperlink w:anchor="Item1FinancialStatements_741172">
              <w:r>
                <w:rPr>
                  <w:rStyle w:val="InternetLink"/>
                  <w:rFonts w:ascii="Times New Roman;Times;serif" w:hAnsi="Times New Roman;Times;serif"/>
                  <w:b w:val="false"/>
                  <w:i w:val="false"/>
                  <w:caps w:val="false"/>
                  <w:smallCaps w:val="false"/>
                  <w:sz w:val="20"/>
                </w:rPr>
                <w:t>Financial Statements (unaudited)</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811" w:type="dxa"/>
            <w:tcBorders/>
            <w:vAlign w:val="center"/>
          </w:tcPr>
          <w:p>
            <w:pPr>
              <w:pStyle w:val="TableContents"/>
              <w:pBdr/>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ConsolidatedBalanceSheets_425893">
              <w:r>
                <w:rPr>
                  <w:rStyle w:val="InternetLink"/>
                  <w:rFonts w:ascii="Times New Roman;Times;serif" w:hAnsi="Times New Roman;Times;serif"/>
                  <w:b w:val="false"/>
                  <w:i w:val="false"/>
                  <w:caps w:val="false"/>
                  <w:smallCaps w:val="false"/>
                  <w:sz w:val="20"/>
                </w:rPr>
                <w:t>Condensed Consolidated Balance Sheets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811" w:type="dxa"/>
            <w:tcBorders/>
            <w:vAlign w:val="center"/>
          </w:tcPr>
          <w:p>
            <w:pPr>
              <w:pStyle w:val="TableContents"/>
              <w:pBdr/>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ConsolidatedStatementsofOperations_22675">
              <w:r>
                <w:rPr>
                  <w:rStyle w:val="InternetLink"/>
                  <w:rFonts w:ascii="Times New Roman;Times;serif" w:hAnsi="Times New Roman;Times;serif"/>
                  <w:b w:val="false"/>
                  <w:i w:val="false"/>
                  <w:caps w:val="false"/>
                  <w:smallCaps w:val="false"/>
                  <w:sz w:val="20"/>
                </w:rPr>
                <w:t>Condensed Consolidated Statements of Operations and Comprehensive Loss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811" w:type="dxa"/>
            <w:tcBorders/>
            <w:vAlign w:val="center"/>
          </w:tcPr>
          <w:p>
            <w:pPr>
              <w:pStyle w:val="TableContents"/>
              <w:pBdr/>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ShareholdersEquityDeficit_990378">
              <w:r>
                <w:rPr>
                  <w:rStyle w:val="InternetLink"/>
                  <w:rFonts w:ascii="Times New Roman;Times;serif" w:hAnsi="Times New Roman;Times;serif"/>
                  <w:b w:val="false"/>
                  <w:i w:val="false"/>
                  <w:caps w:val="false"/>
                  <w:smallCaps w:val="false"/>
                  <w:sz w:val="20"/>
                </w:rPr>
                <w:t>Condensed Consolidated Statements of Shareholders’ Equity</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11" w:type="dxa"/>
            <w:tcBorders/>
            <w:vAlign w:val="center"/>
          </w:tcPr>
          <w:p>
            <w:pPr>
              <w:pStyle w:val="TableContents"/>
              <w:pBdr/>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ConsolidatedStatementsofCashFlows_838064">
              <w:r>
                <w:rPr>
                  <w:rStyle w:val="InternetLink"/>
                  <w:rFonts w:ascii="Times New Roman;Times;serif" w:hAnsi="Times New Roman;Times;serif"/>
                  <w:b w:val="false"/>
                  <w:i w:val="false"/>
                  <w:caps w:val="false"/>
                  <w:smallCaps w:val="false"/>
                  <w:sz w:val="20"/>
                </w:rPr>
                <w:t>Condensed Consolidated Statements of Cash Flows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811" w:type="dxa"/>
            <w:tcBorders/>
            <w:vAlign w:val="center"/>
          </w:tcPr>
          <w:p>
            <w:pPr>
              <w:pStyle w:val="TableContents"/>
              <w:pBdr/>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NotestoUnauditedCondensedConsolidatedFin">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pBdr/>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pBdr/>
              <w:bidi w:val="0"/>
              <w:spacing w:before="0" w:after="0"/>
              <w:ind w:left="0" w:right="0" w:hanging="0"/>
              <w:jc w:val="left"/>
              <w:rPr/>
            </w:pPr>
            <w:hyperlink w:anchor="Item2ManagementsDiscussionandAnalysis_57">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0"/>
              <w:ind w:left="0" w:right="0" w:hanging="0"/>
              <w:jc w:val="left"/>
              <w:rPr/>
            </w:pPr>
            <w:hyperlink w:anchor="Item2ManagementsDiscussionandAnalysis_57">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811" w:type="dxa"/>
            <w:tcBorders/>
            <w:vAlign w:val="center"/>
          </w:tcPr>
          <w:p>
            <w:pPr>
              <w:pStyle w:val="TableContents"/>
              <w:pBdr/>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pBdr/>
              <w:bidi w:val="0"/>
              <w:spacing w:before="0" w:after="0"/>
              <w:ind w:left="0" w:right="0" w:hanging="0"/>
              <w:jc w:val="left"/>
              <w:rPr/>
            </w:pPr>
            <w:hyperlink w:anchor="Item3QuantitativeandQualitative_648871">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0"/>
              <w:ind w:left="0" w:right="0" w:hanging="0"/>
              <w:jc w:val="left"/>
              <w:rPr/>
            </w:pPr>
            <w:hyperlink w:anchor="Item3QuantitativeandQualitative_648871">
              <w:r>
                <w:rPr>
                  <w:rStyle w:val="InternetLink"/>
                  <w:rFonts w:ascii="Times New Roman;Times;serif" w:hAnsi="Times New Roman;Times;serif"/>
                  <w:b w:val="false"/>
                  <w:i w:val="false"/>
                  <w:caps w:val="false"/>
                  <w:smallCaps w:val="false"/>
                  <w:sz w:val="20"/>
                </w:rPr>
                <w:t>Quantitative and Qualitative Disclosure About Market Risk</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811" w:type="dxa"/>
            <w:tcBorders/>
            <w:vAlign w:val="center"/>
          </w:tcPr>
          <w:p>
            <w:pPr>
              <w:pStyle w:val="TableContents"/>
              <w:pBdr/>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pBdr/>
              <w:bidi w:val="0"/>
              <w:spacing w:before="0" w:after="0"/>
              <w:ind w:left="0" w:right="0" w:hanging="0"/>
              <w:jc w:val="left"/>
              <w:rPr/>
            </w:pPr>
            <w:hyperlink w:anchor="Item4ControlsandProcedures_218376">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before="0" w:after="0"/>
              <w:ind w:left="0" w:right="0" w:hanging="0"/>
              <w:jc w:val="left"/>
              <w:rPr/>
            </w:pPr>
            <w:hyperlink w:anchor="Item4ControlsandProcedures_218376">
              <w:r>
                <w:rPr>
                  <w:rStyle w:val="InternetLink"/>
                  <w:rFonts w:ascii="Times New Roman;Times;serif" w:hAnsi="Times New Roman;Times;serif"/>
                  <w:b w:val="false"/>
                  <w:i w:val="false"/>
                  <w:caps w:val="false"/>
                  <w:smallCaps w:val="false"/>
                  <w:sz w:val="20"/>
                </w:rPr>
                <w:t>Controls and Procedures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177" w:type="dxa"/>
            <w:gridSpan w:val="2"/>
            <w:tcBorders/>
            <w:vAlign w:val="center"/>
          </w:tcPr>
          <w:p>
            <w:pPr>
              <w:pStyle w:val="TableContents"/>
              <w:pBdr/>
              <w:bidi w:val="0"/>
              <w:spacing w:before="0" w:after="0"/>
              <w:ind w:left="0" w:right="0" w:hanging="0"/>
              <w:jc w:val="left"/>
              <w:rPr/>
            </w:pPr>
            <w:hyperlink w:anchor="PARTIIOTHERINFORMATION_491351">
              <w:r>
                <w:rPr>
                  <w:rStyle w:val="InternetLink"/>
                  <w:rFonts w:ascii="Times New Roman;Times;serif" w:hAnsi="Times New Roman;Times;serif"/>
                  <w:b/>
                  <w:i w:val="false"/>
                  <w:caps w:val="false"/>
                  <w:smallCaps w:val="false"/>
                  <w:sz w:val="20"/>
                </w:rPr>
                <w:t>PART II - OTHER INFORMATION</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pBdr/>
              <w:bidi w:val="0"/>
              <w:spacing w:before="0" w:after="0"/>
              <w:ind w:left="0" w:right="0" w:hanging="0"/>
              <w:jc w:val="left"/>
              <w:rPr/>
            </w:pPr>
            <w:hyperlink w:anchor="Item1LegalProceedings_274094">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rPr/>
            </w:pPr>
            <w:hyperlink w:anchor="Item1LegalProceedings_274094">
              <w:r>
                <w:rPr>
                  <w:rStyle w:val="InternetLink"/>
                  <w:rFonts w:ascii="Times New Roman;Times;serif" w:hAnsi="Times New Roman;Times;serif"/>
                  <w:b w:val="false"/>
                  <w:i w:val="false"/>
                  <w:caps w:val="false"/>
                  <w:smallCaps w:val="false"/>
                  <w:sz w:val="20"/>
                </w:rPr>
                <w:t>Legal Proceedings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811" w:type="dxa"/>
            <w:tcBorders/>
            <w:vAlign w:val="center"/>
          </w:tcPr>
          <w:p>
            <w:pPr>
              <w:pStyle w:val="TableContents"/>
              <w:pBdr/>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pBdr/>
              <w:bidi w:val="0"/>
              <w:spacing w:before="0" w:after="0"/>
              <w:ind w:left="0" w:right="0" w:hanging="0"/>
              <w:jc w:val="left"/>
              <w:rPr/>
            </w:pPr>
            <w:hyperlink w:anchor="Item1ARiskFactors__090955">
              <w:r>
                <w:rPr>
                  <w:rStyle w:val="InternetLink"/>
                  <w:rFonts w:ascii="Times New Roman;Times;serif" w:hAnsi="Times New Roman;Times;serif"/>
                  <w:b w:val="false"/>
                  <w:i w:val="false"/>
                  <w:caps w:val="false"/>
                  <w:smallCaps w:val="false"/>
                  <w:sz w:val="20"/>
                </w:rPr>
                <w:t>Item 1A</w:t>
              </w:r>
            </w:hyperlink>
            <w:r>
              <w:rPr>
                <w:rFonts w:ascii="Times New Roman;Times;serif" w:hAnsi="Times New Roman;Times;serif"/>
                <w:sz w:val="20"/>
              </w:rPr>
              <w:t>.</w:t>
            </w:r>
          </w:p>
        </w:tc>
        <w:tc>
          <w:tcPr>
            <w:tcW w:w="7366" w:type="dxa"/>
            <w:tcBorders/>
            <w:vAlign w:val="center"/>
          </w:tcPr>
          <w:p>
            <w:pPr>
              <w:pStyle w:val="TableContents"/>
              <w:bidi w:val="0"/>
              <w:spacing w:before="0" w:after="0"/>
              <w:ind w:left="0" w:right="0" w:hanging="0"/>
              <w:jc w:val="left"/>
              <w:rPr/>
            </w:pPr>
            <w:hyperlink w:anchor="Item1ARiskFactors__090955">
              <w:r>
                <w:rPr>
                  <w:rStyle w:val="InternetLink"/>
                  <w:rFonts w:ascii="Times New Roman;Times;serif" w:hAnsi="Times New Roman;Times;serif"/>
                  <w:b w:val="false"/>
                  <w:i w:val="false"/>
                  <w:caps w:val="false"/>
                  <w:smallCaps w:val="false"/>
                  <w:sz w:val="20"/>
                </w:rPr>
                <w:t>Risk Factors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811" w:type="dxa"/>
            <w:tcBorders/>
            <w:vAlign w:val="center"/>
          </w:tcPr>
          <w:p>
            <w:pPr>
              <w:pStyle w:val="TableContents"/>
              <w:pBdr/>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pBdr/>
              <w:bidi w:val="0"/>
              <w:spacing w:before="0" w:after="0"/>
              <w:ind w:left="0" w:right="0" w:hanging="0"/>
              <w:jc w:val="left"/>
              <w:rPr/>
            </w:pPr>
            <w:hyperlink w:anchor="Item2UnregisteredSalesofEquity_27708">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0"/>
              <w:ind w:left="0" w:right="0" w:hanging="0"/>
              <w:jc w:val="left"/>
              <w:rPr/>
            </w:pPr>
            <w:hyperlink w:anchor="Item2UnregisteredSalesofEquity_27708">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r>
      <w:tr>
        <w:trPr/>
        <w:tc>
          <w:tcPr>
            <w:tcW w:w="811" w:type="dxa"/>
            <w:tcBorders/>
            <w:vAlign w:val="center"/>
          </w:tcPr>
          <w:p>
            <w:pPr>
              <w:pStyle w:val="TableContents"/>
              <w:pBdr/>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pBdr/>
              <w:bidi w:val="0"/>
              <w:spacing w:before="0" w:after="0"/>
              <w:ind w:left="0" w:right="0" w:hanging="0"/>
              <w:jc w:val="left"/>
              <w:rPr/>
            </w:pPr>
            <w:hyperlink w:anchor="Item3DefaultsUponSeniorSecurities_837128">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0"/>
              <w:ind w:left="0" w:right="0" w:hanging="0"/>
              <w:jc w:val="left"/>
              <w:rPr/>
            </w:pPr>
            <w:hyperlink w:anchor="Item3DefaultsUponSeniorSecurities_837128">
              <w:r>
                <w:rPr>
                  <w:rStyle w:val="InternetLink"/>
                  <w:rFonts w:ascii="Times New Roman;Times;serif" w:hAnsi="Times New Roman;Times;serif"/>
                  <w:b w:val="false"/>
                  <w:i w:val="false"/>
                  <w:caps w:val="false"/>
                  <w:smallCaps w:val="false"/>
                  <w:sz w:val="20"/>
                </w:rPr>
                <w:t>Defaults Upon Senior Securities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r>
      <w:tr>
        <w:trPr/>
        <w:tc>
          <w:tcPr>
            <w:tcW w:w="811" w:type="dxa"/>
            <w:tcBorders/>
            <w:vAlign w:val="center"/>
          </w:tcPr>
          <w:p>
            <w:pPr>
              <w:pStyle w:val="TableContents"/>
              <w:pBdr/>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pBdr/>
              <w:bidi w:val="0"/>
              <w:spacing w:before="0" w:after="0"/>
              <w:ind w:left="0" w:right="0" w:hanging="0"/>
              <w:jc w:val="left"/>
              <w:rPr/>
            </w:pPr>
            <w:hyperlink w:anchor="Item4MineSafetyDisclosures_806847">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before="0" w:after="0"/>
              <w:ind w:left="0" w:right="0" w:hanging="0"/>
              <w:jc w:val="left"/>
              <w:rPr/>
            </w:pPr>
            <w:hyperlink w:anchor="Item4MineSafetyDisclosures_806847">
              <w:r>
                <w:rPr>
                  <w:rStyle w:val="InternetLink"/>
                  <w:rFonts w:ascii="Times New Roman;Times;serif" w:hAnsi="Times New Roman;Times;serif"/>
                  <w:b w:val="false"/>
                  <w:i w:val="false"/>
                  <w:caps w:val="false"/>
                  <w:smallCaps w:val="false"/>
                  <w:sz w:val="20"/>
                </w:rPr>
                <w:t>Mine Safety Disclosures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r>
      <w:tr>
        <w:trPr/>
        <w:tc>
          <w:tcPr>
            <w:tcW w:w="811" w:type="dxa"/>
            <w:tcBorders/>
            <w:vAlign w:val="center"/>
          </w:tcPr>
          <w:p>
            <w:pPr>
              <w:pStyle w:val="TableContents"/>
              <w:pBdr/>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pBdr/>
              <w:bidi w:val="0"/>
              <w:spacing w:before="0" w:after="0"/>
              <w:ind w:left="0" w:right="0" w:hanging="0"/>
              <w:jc w:val="left"/>
              <w:rPr/>
            </w:pPr>
            <w:hyperlink w:anchor="Item5OtherInformation">
              <w:r>
                <w:rPr>
                  <w:rStyle w:val="InternetLink"/>
                  <w:rFonts w:ascii="Times New Roman;Times;serif" w:hAnsi="Times New Roman;Times;serif"/>
                  <w:b w:val="false"/>
                  <w:i w:val="false"/>
                  <w:caps w:val="false"/>
                  <w:smallCaps w:val="false"/>
                  <w:sz w:val="20"/>
                </w:rPr>
                <w:t>Item 5.</w:t>
              </w:r>
            </w:hyperlink>
          </w:p>
        </w:tc>
        <w:tc>
          <w:tcPr>
            <w:tcW w:w="7366" w:type="dxa"/>
            <w:tcBorders/>
            <w:vAlign w:val="center"/>
          </w:tcPr>
          <w:p>
            <w:pPr>
              <w:pStyle w:val="TableContents"/>
              <w:bidi w:val="0"/>
              <w:spacing w:before="0" w:after="0"/>
              <w:ind w:left="0" w:right="0" w:hanging="0"/>
              <w:jc w:val="left"/>
              <w:rPr/>
            </w:pPr>
            <w:hyperlink w:anchor="Item5OtherInformation">
              <w:r>
                <w:rPr>
                  <w:rStyle w:val="InternetLink"/>
                  <w:rFonts w:ascii="Times New Roman;Times;serif" w:hAnsi="Times New Roman;Times;serif"/>
                  <w:b w:val="false"/>
                  <w:i w:val="false"/>
                  <w:caps w:val="false"/>
                  <w:smallCaps w:val="false"/>
                  <w:sz w:val="20"/>
                </w:rPr>
                <w:t>Other Information</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r>
      <w:tr>
        <w:trPr/>
        <w:tc>
          <w:tcPr>
            <w:tcW w:w="811" w:type="dxa"/>
            <w:tcBorders/>
            <w:vAlign w:val="center"/>
          </w:tcPr>
          <w:p>
            <w:pPr>
              <w:pStyle w:val="TableContents"/>
              <w:pBdr/>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pBdr/>
              <w:bidi w:val="0"/>
              <w:spacing w:before="0" w:after="0"/>
              <w:ind w:left="0" w:right="0" w:hanging="0"/>
              <w:jc w:val="left"/>
              <w:rPr/>
            </w:pPr>
            <w:hyperlink w:anchor="Item6Exhibits_105385">
              <w:r>
                <w:rPr>
                  <w:rStyle w:val="InternetLink"/>
                  <w:rFonts w:ascii="Times New Roman;Times;serif" w:hAnsi="Times New Roman;Times;serif"/>
                  <w:b w:val="false"/>
                  <w:i w:val="false"/>
                  <w:caps w:val="false"/>
                  <w:smallCaps w:val="false"/>
                  <w:sz w:val="20"/>
                </w:rPr>
                <w:t>Item 6.</w:t>
              </w:r>
            </w:hyperlink>
          </w:p>
        </w:tc>
        <w:tc>
          <w:tcPr>
            <w:tcW w:w="7366" w:type="dxa"/>
            <w:tcBorders/>
            <w:vAlign w:val="center"/>
          </w:tcPr>
          <w:p>
            <w:pPr>
              <w:pStyle w:val="TableContents"/>
              <w:bidi w:val="0"/>
              <w:spacing w:before="0" w:after="0"/>
              <w:ind w:left="0" w:right="0" w:hanging="0"/>
              <w:jc w:val="left"/>
              <w:rPr/>
            </w:pPr>
            <w:hyperlink w:anchor="Item6Exhibits_105385">
              <w:r>
                <w:rPr>
                  <w:rStyle w:val="InternetLink"/>
                  <w:rFonts w:ascii="Times New Roman;Times;serif" w:hAnsi="Times New Roman;Times;serif"/>
                  <w:b w:val="false"/>
                  <w:i w:val="false"/>
                  <w:caps w:val="false"/>
                  <w:smallCaps w:val="false"/>
                  <w:sz w:val="20"/>
                </w:rPr>
                <w:t>Exhibits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177" w:type="dxa"/>
            <w:gridSpan w:val="2"/>
            <w:tcBorders/>
            <w:vAlign w:val="center"/>
          </w:tcPr>
          <w:p>
            <w:pPr>
              <w:pStyle w:val="TableContents"/>
              <w:pBdr/>
              <w:bidi w:val="0"/>
              <w:spacing w:before="0" w:after="0"/>
              <w:ind w:left="0" w:right="0" w:hanging="0"/>
              <w:jc w:val="left"/>
              <w:rPr/>
            </w:pPr>
            <w:hyperlink w:anchor="SIGNATURES_425096">
              <w:r>
                <w:rPr>
                  <w:rStyle w:val="InternetLink"/>
                  <w:rFonts w:ascii="Times New Roman;Times;serif" w:hAnsi="Times New Roman;Times;serif"/>
                  <w:b/>
                  <w:i w:val="false"/>
                  <w:caps w:val="false"/>
                  <w:smallCaps w:val="false"/>
                  <w:sz w:val="20"/>
                </w:rPr>
                <w:t>SIGNATURES</w:t>
              </w:r>
            </w:hyperlink>
          </w:p>
        </w:tc>
        <w:tc>
          <w:tcPr>
            <w:tcW w:w="51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SPECIAL NOTE REGARDING FORWARD LOOKING STATEMENTS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This Quarterly Report on Form 10-Q, or this Quarterly Report, contains forward-looking statements which are made pursuant to the safe harbor provisions of Section 27A of the Securities Act of 1933, as amended, or the Securities Act, and Section 21E of the Securities Exchange Act of 1934, as amended, or the Exchange Act. These statements may be identified by such forward-looking terminology as “will,” “may,” “should,” “expects,” “intends,” “plans,” “anticipates,” “believes,” “estimates,” “predicts,” “potential,” “continue” or variations of these words or similar expressions that are intended to identify forward-looking statements, although not all forward-looking statements contain these words. Any forward-looking statement involves known and unknown risks, uncertainties and other factors that may cause our actual results, levels of activity, performance or achievements to differ materially from any future results, levels of activity, performance or achievements expressed or implied by such forward-looking statement. Forward-looking statements include statements, other than statements of historical fact, about, among other things: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initiation, timing, progress and results of our preclinical studies and clinical trials, and our research and development programs;</w:t>
            </w:r>
          </w:p>
        </w:tc>
      </w:tr>
    </w:tbl>
    <w:tbl>
      <w:tblPr>
        <w:tblW w:w="8031" w:type="dxa"/>
        <w:jc w:val="left"/>
        <w:tblInd w:w="0" w:type="dxa"/>
        <w:tblLayout w:type="fixed"/>
        <w:tblCellMar>
          <w:top w:w="28" w:type="dxa"/>
          <w:left w:w="28" w:type="dxa"/>
          <w:bottom w:w="28" w:type="dxa"/>
          <w:right w:w="28" w:type="dxa"/>
        </w:tblCellMar>
      </w:tblPr>
      <w:tblGrid>
        <w:gridCol w:w="124"/>
        <w:gridCol w:w="256"/>
        <w:gridCol w:w="7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advance our product candidates into, and successfully complete,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our reliance on the success of our product candidates in our pipeline programs for our Bicycle</w:t>
            </w:r>
            <w:r>
              <w:rPr>
                <w:rFonts w:ascii="Times New Roman;Times;serif" w:hAnsi="Times New Roman;Times;serif"/>
                <w:b w:val="false"/>
                <w:i w:val="false"/>
                <w:caps w:val="false"/>
                <w:smallCaps w:val="false"/>
                <w:sz w:val="15"/>
              </w:rPr>
              <w:t>®</w:t>
            </w:r>
            <w:r>
              <w:rPr>
                <w:caps w:val="false"/>
                <w:smallCaps w:val="false"/>
              </w:rPr>
              <w:t xml:space="preserve"> </w:t>
            </w:r>
            <w:r>
              <w:rPr>
                <w:rFonts w:ascii="Times New Roman;Times;serif" w:hAnsi="Times New Roman;Times;serif"/>
                <w:b w:val="false"/>
                <w:i w:val="false"/>
                <w:caps w:val="false"/>
                <w:smallCaps w:val="false"/>
                <w:sz w:val="20"/>
              </w:rPr>
              <w:t>Drug Conjugates, or BDC</w:t>
            </w:r>
            <w:r>
              <w:rPr>
                <w:rFonts w:ascii="Times New Roman;Times;serif" w:hAnsi="Times New Roman;Times;serif"/>
                <w:b w:val="false"/>
                <w:i w:val="false"/>
                <w:caps w:val="false"/>
                <w:smallCaps w:val="false"/>
                <w:sz w:val="15"/>
              </w:rPr>
              <w:t xml:space="preserve">® </w:t>
            </w:r>
            <w:r>
              <w:rPr>
                <w:rFonts w:ascii="Times New Roman;Times;serif" w:hAnsi="Times New Roman;Times;serif"/>
                <w:b w:val="false"/>
                <w:i w:val="false"/>
                <w:caps w:val="false"/>
                <w:smallCaps w:val="false"/>
                <w:sz w:val="20"/>
              </w:rPr>
              <w:t>molecules, and Bicycle Radioconjugates, or BRC</w:t>
            </w:r>
            <w:r>
              <w:rPr>
                <w:rFonts w:ascii="Times New Roman;Times;serif" w:hAnsi="Times New Roman;Times;serif"/>
                <w:b w:val="false"/>
                <w:i w:val="false"/>
                <w:caps w:val="false"/>
                <w:smallCaps w:val="false"/>
                <w:sz w:val="15"/>
              </w:rPr>
              <w:t>®</w:t>
            </w:r>
            <w:r>
              <w:rPr>
                <w:caps w:val="false"/>
                <w:smallCaps w:val="false"/>
              </w:rPr>
              <w:t xml:space="preserve"> </w:t>
            </w:r>
            <w:r>
              <w:rPr>
                <w:rFonts w:ascii="Times New Roman;Times;serif" w:hAnsi="Times New Roman;Times;serif"/>
                <w:b w:val="false"/>
                <w:i w:val="false"/>
                <w:caps w:val="false"/>
                <w:smallCaps w:val="false"/>
                <w:sz w:val="20"/>
              </w:rPr>
              <w:t>molecules, as well as our other pipeline programs;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utilize our screening platform to identify and advance additional product candidates into clinical development;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or likelihood of regulatory filings and approvals, including communications with and feedback from the FDA and other regulatory agencies;</w:t>
            </w:r>
          </w:p>
        </w:tc>
      </w:tr>
    </w:tbl>
    <w:tbl>
      <w:tblPr>
        <w:tblW w:w="5541" w:type="dxa"/>
        <w:jc w:val="left"/>
        <w:tblInd w:w="0" w:type="dxa"/>
        <w:tblLayout w:type="fixed"/>
        <w:tblCellMar>
          <w:top w:w="28" w:type="dxa"/>
          <w:left w:w="28" w:type="dxa"/>
          <w:bottom w:w="28" w:type="dxa"/>
          <w:right w:w="28" w:type="dxa"/>
        </w:tblCellMar>
      </w:tblPr>
      <w:tblGrid>
        <w:gridCol w:w="124"/>
        <w:gridCol w:w="256"/>
        <w:gridCol w:w="51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commercialization of our product candidates, if approved;</w:t>
            </w:r>
          </w:p>
        </w:tc>
      </w:tr>
    </w:tbl>
    <w:tbl>
      <w:tblPr>
        <w:tblW w:w="5001" w:type="dxa"/>
        <w:jc w:val="left"/>
        <w:tblInd w:w="0" w:type="dxa"/>
        <w:tblLayout w:type="fixed"/>
        <w:tblCellMar>
          <w:top w:w="28" w:type="dxa"/>
          <w:left w:w="28" w:type="dxa"/>
          <w:bottom w:w="28" w:type="dxa"/>
          <w:right w:w="28" w:type="dxa"/>
        </w:tblCellMar>
      </w:tblPr>
      <w:tblGrid>
        <w:gridCol w:w="124"/>
        <w:gridCol w:w="256"/>
        <w:gridCol w:w="46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develop sales and marketing capabilities;</w:t>
            </w:r>
          </w:p>
        </w:tc>
      </w:tr>
    </w:tbl>
    <w:tbl>
      <w:tblPr>
        <w:tblW w:w="7026" w:type="dxa"/>
        <w:jc w:val="left"/>
        <w:tblInd w:w="0" w:type="dxa"/>
        <w:tblLayout w:type="fixed"/>
        <w:tblCellMar>
          <w:top w:w="28" w:type="dxa"/>
          <w:left w:w="28" w:type="dxa"/>
          <w:bottom w:w="28" w:type="dxa"/>
          <w:right w:w="28" w:type="dxa"/>
        </w:tblCellMar>
      </w:tblPr>
      <w:tblGrid>
        <w:gridCol w:w="124"/>
        <w:gridCol w:w="256"/>
        <w:gridCol w:w="6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pricing, coverage and reimbursement of our product candidates, if approved;</w:t>
            </w:r>
          </w:p>
        </w:tc>
      </w:tr>
    </w:tbl>
    <w:tbl>
      <w:tblPr>
        <w:tblW w:w="9531" w:type="dxa"/>
        <w:jc w:val="left"/>
        <w:tblInd w:w="0" w:type="dxa"/>
        <w:tblLayout w:type="fixed"/>
        <w:tblCellMar>
          <w:top w:w="28" w:type="dxa"/>
          <w:left w:w="28" w:type="dxa"/>
          <w:bottom w:w="28" w:type="dxa"/>
          <w:right w:w="28" w:type="dxa"/>
        </w:tblCellMar>
      </w:tblPr>
      <w:tblGrid>
        <w:gridCol w:w="124"/>
        <w:gridCol w:w="256"/>
        <w:gridCol w:w="9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implementation of our business model, strategic plans for our business, product candidates and technology;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of protection we are able to establish and maintain for intellectual property rights covering our product candidates and technology;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operate our business without infringing the intellectual property rights and proprietary technology of third parties;</w:t>
            </w:r>
          </w:p>
        </w:tc>
      </w:tr>
    </w:tbl>
    <w:tbl>
      <w:tblPr>
        <w:tblW w:w="8766" w:type="dxa"/>
        <w:jc w:val="left"/>
        <w:tblInd w:w="0" w:type="dxa"/>
        <w:tblLayout w:type="fixed"/>
        <w:tblCellMar>
          <w:top w:w="28" w:type="dxa"/>
          <w:left w:w="28" w:type="dxa"/>
          <w:bottom w:w="28" w:type="dxa"/>
          <w:right w:w="28" w:type="dxa"/>
        </w:tblCellMar>
      </w:tblPr>
      <w:tblGrid>
        <w:gridCol w:w="124"/>
        <w:gridCol w:w="256"/>
        <w:gridCol w:w="8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associated with defending intellectual property infringement, product liability and other claims;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developments in the United States, the United Kingdom and other jurisdictions and changes to the laws and regulations of the United States, England and Wales, and other jurisdictions;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estimates of our expenses, future revenues, capital requirements, share performance and our needs for additional financing;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benefits of strategic collaboration agreements and our ability to enter into additional strategic arrangements or partnerships;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7566" w:type="dxa"/>
        <w:jc w:val="left"/>
        <w:tblInd w:w="0" w:type="dxa"/>
        <w:tblLayout w:type="fixed"/>
        <w:tblCellMar>
          <w:top w:w="28" w:type="dxa"/>
          <w:left w:w="28" w:type="dxa"/>
          <w:bottom w:w="28" w:type="dxa"/>
          <w:right w:w="28" w:type="dxa"/>
        </w:tblCellMar>
      </w:tblPr>
      <w:tblGrid>
        <w:gridCol w:w="124"/>
        <w:gridCol w:w="256"/>
        <w:gridCol w:w="71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and establish collaborations or obtain additional grant funding;</w:t>
            </w:r>
          </w:p>
        </w:tc>
      </w:tr>
    </w:tbl>
    <w:tbl>
      <w:tblPr>
        <w:tblW w:w="5991" w:type="dxa"/>
        <w:jc w:val="left"/>
        <w:tblInd w:w="0" w:type="dxa"/>
        <w:tblLayout w:type="fixed"/>
        <w:tblCellMar>
          <w:top w:w="28" w:type="dxa"/>
          <w:left w:w="28" w:type="dxa"/>
          <w:bottom w:w="28" w:type="dxa"/>
          <w:right w:w="28" w:type="dxa"/>
        </w:tblCellMar>
      </w:tblPr>
      <w:tblGrid>
        <w:gridCol w:w="124"/>
        <w:gridCol w:w="256"/>
        <w:gridCol w:w="5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rate and degree of market acceptance of any approved products;</w:t>
            </w:r>
          </w:p>
        </w:tc>
      </w:tr>
    </w:tbl>
    <w:tbl>
      <w:tblPr>
        <w:tblW w:w="7896" w:type="dxa"/>
        <w:jc w:val="left"/>
        <w:tblInd w:w="0" w:type="dxa"/>
        <w:tblLayout w:type="fixed"/>
        <w:tblCellMar>
          <w:top w:w="28" w:type="dxa"/>
          <w:left w:w="28" w:type="dxa"/>
          <w:bottom w:w="28" w:type="dxa"/>
          <w:right w:w="28" w:type="dxa"/>
        </w:tblCellMar>
      </w:tblPr>
      <w:tblGrid>
        <w:gridCol w:w="124"/>
        <w:gridCol w:w="256"/>
        <w:gridCol w:w="7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relating to our competitors and our industry, including competing therapies;</w:t>
            </w:r>
          </w:p>
        </w:tc>
      </w:tr>
    </w:tbl>
    <w:tbl>
      <w:tblPr>
        <w:tblW w:w="7971" w:type="dxa"/>
        <w:jc w:val="left"/>
        <w:tblInd w:w="0" w:type="dxa"/>
        <w:tblLayout w:type="fixed"/>
        <w:tblCellMar>
          <w:top w:w="28" w:type="dxa"/>
          <w:left w:w="28" w:type="dxa"/>
          <w:bottom w:w="28" w:type="dxa"/>
          <w:right w:w="28" w:type="dxa"/>
        </w:tblCellMar>
      </w:tblPr>
      <w:tblGrid>
        <w:gridCol w:w="124"/>
        <w:gridCol w:w="256"/>
        <w:gridCol w:w="75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hiring plans and our ability to attract and retain qualified employees and key personnel;</w:t>
            </w:r>
          </w:p>
        </w:tc>
      </w:tr>
    </w:tbl>
    <w:tbl>
      <w:tblPr>
        <w:tblW w:w="4956" w:type="dxa"/>
        <w:jc w:val="left"/>
        <w:tblInd w:w="0" w:type="dxa"/>
        <w:tblLayout w:type="fixed"/>
        <w:tblCellMar>
          <w:top w:w="28" w:type="dxa"/>
          <w:left w:w="28" w:type="dxa"/>
          <w:bottom w:w="28" w:type="dxa"/>
          <w:right w:w="28" w:type="dxa"/>
        </w:tblCellMar>
      </w:tblPr>
      <w:tblGrid>
        <w:gridCol w:w="124"/>
        <w:gridCol w:w="256"/>
        <w:gridCol w:w="45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effectively manage our potential growth;</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estimates regarding expected future cost savings and charges associated with our strategic reprioritization and workforce reduction announced in March 2026;</w:t>
            </w:r>
          </w:p>
        </w:tc>
      </w:tr>
    </w:tbl>
    <w:tbl>
      <w:tblPr>
        <w:tblW w:w="9666" w:type="dxa"/>
        <w:jc w:val="left"/>
        <w:tblInd w:w="0" w:type="dxa"/>
        <w:tblLayout w:type="fixed"/>
        <w:tblCellMar>
          <w:top w:w="28" w:type="dxa"/>
          <w:left w:w="28" w:type="dxa"/>
          <w:bottom w:w="28" w:type="dxa"/>
          <w:right w:w="28" w:type="dxa"/>
        </w:tblCellMar>
      </w:tblPr>
      <w:tblGrid>
        <w:gridCol w:w="124"/>
        <w:gridCol w:w="256"/>
        <w:gridCol w:w="9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expected qualification as R&amp;D intensive for the year ended December 31, 2026, under the Finance Act 2024;</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adverse global economic conditions, including those arising from changes in global trade policies, on our operations and the potential disruption in the operations and business of third-party manufacturers, contract research organizations, or CROs, other service providers, and collaborators with whom we conduct business;</w:t>
            </w:r>
          </w:p>
        </w:tc>
      </w:tr>
    </w:tbl>
    <w:tbl>
      <w:tblPr>
        <w:tblW w:w="6411" w:type="dxa"/>
        <w:jc w:val="left"/>
        <w:tblInd w:w="0" w:type="dxa"/>
        <w:tblLayout w:type="fixed"/>
        <w:tblCellMar>
          <w:top w:w="28" w:type="dxa"/>
          <w:left w:w="28" w:type="dxa"/>
          <w:bottom w:w="28" w:type="dxa"/>
          <w:right w:w="28" w:type="dxa"/>
        </w:tblCellMar>
      </w:tblPr>
      <w:tblGrid>
        <w:gridCol w:w="124"/>
        <w:gridCol w:w="256"/>
        <w:gridCol w:w="6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adverse developments affecting the financial services industry;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potential business interruptions resulting from geo-political actions, such as war and terrorism, or the perception that such hostilities may be imminent;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or perceived failure to comply with existing or future laws, regulations, contracts, self-regulatory schemes, standards, and other obligations related to data privacy and security (including our ability to identify and respond to potential future security incidents); and</w:t>
            </w:r>
          </w:p>
        </w:tc>
      </w:tr>
    </w:tbl>
    <w:tbl>
      <w:tblPr>
        <w:tblW w:w="7416" w:type="dxa"/>
        <w:jc w:val="left"/>
        <w:tblInd w:w="0" w:type="dxa"/>
        <w:tblLayout w:type="fixed"/>
        <w:tblCellMar>
          <w:top w:w="28" w:type="dxa"/>
          <w:left w:w="28" w:type="dxa"/>
          <w:bottom w:w="28" w:type="dxa"/>
          <w:right w:w="28" w:type="dxa"/>
        </w:tblCellMar>
      </w:tblPr>
      <w:tblGrid>
        <w:gridCol w:w="124"/>
        <w:gridCol w:w="256"/>
        <w:gridCol w:w="70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risks and uncertainties, including those listed under the caption “Risk Factors.”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Although we believe that we have a reasonable basis for each forward-looking statement contained in this Quarterly Report, these statements are based on our estimates or projections of the future that are subject to known and unknown risks and uncertainties and other important factors that may cause our actual results, level of activity, performance, experience or achievements to differ materially from those expressed or implied by any forward-looking statement. These risks, uncertainties and other factors are described in greater detail under the caption “Risk Factors” in Part II, Item 1A and elsewhere in this Quarterly Report. As a result of the risks and uncertainties, the results or events indicated by the forward-looking statements may not occur. Undue reliance should not be placed on any forward-looking statement.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addition, any forward-looking statement in this Quarterly Report represents our views only as of the date of this Quarterly Report and should not be relied upon as representing our views as of any subsequent date. We anticipate that subsequent events and developments may cause our views to change. Although we may elect to update these forward-looking statements publicly at some point in the future, we specifically disclaim any obligation to do so, except as required by applicable law. Our forward-looking statements do not reflect the potential impact of any future acquisitions, mergers, dispositions, joint ventures or investments we may make.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25" w:name="PARTIFINANCIALINFORMATION_254070"/>
      <w:bookmarkStart w:id="26" w:name="_d4ecfb48_dda5_4f44_83c0_3701a49311f7"/>
      <w:bookmarkEnd w:id="25"/>
      <w:bookmarkEnd w:id="26"/>
      <w:r>
        <w:rPr>
          <w:rFonts w:ascii="Times New Roman;Times;serif" w:hAnsi="Times New Roman;Times;serif"/>
          <w:b/>
          <w:sz w:val="20"/>
        </w:rPr>
        <w:t>PART I - FINANCIAL INFORMATION</w:t>
      </w:r>
    </w:p>
    <w:p>
      <w:pPr>
        <w:pStyle w:val="TextBody"/>
        <w:bidi w:val="0"/>
        <w:spacing w:before="0" w:after="0"/>
        <w:ind w:left="0" w:right="0" w:hanging="0"/>
        <w:jc w:val="left"/>
        <w:rPr>
          <w:rFonts w:ascii="Times New Roman;Times;serif" w:hAnsi="Times New Roman;Times;serif"/>
          <w:b/>
          <w:sz w:val="20"/>
        </w:rPr>
      </w:pPr>
      <w:bookmarkStart w:id="27" w:name="Item1FinancialStatements_741172"/>
      <w:bookmarkEnd w:id="27"/>
      <w:r>
        <w:rPr>
          <w:rFonts w:ascii="Times New Roman;Times;serif" w:hAnsi="Times New Roman;Times;serif"/>
          <w:b/>
          <w:sz w:val="20"/>
        </w:rPr>
        <w:t>Item 1.  Financial Statements</w:t>
      </w:r>
      <w:r>
        <w:rPr>
          <w:rFonts w:ascii="Times New Roman;Times;serif" w:hAnsi="Times New Roman;Times;serif"/>
          <w:b w:val="false"/>
          <w:sz w:val="20"/>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Bicycle Therapeutics plc</w:t>
      </w:r>
    </w:p>
    <w:p>
      <w:pPr>
        <w:pStyle w:val="TextBody"/>
        <w:bidi w:val="0"/>
        <w:spacing w:before="0" w:after="0"/>
        <w:ind w:left="0" w:right="0" w:hanging="0"/>
        <w:jc w:val="center"/>
        <w:rPr>
          <w:rFonts w:ascii="Times New Roman;Times;serif" w:hAnsi="Times New Roman;Times;serif"/>
          <w:b/>
          <w:sz w:val="20"/>
        </w:rPr>
      </w:pPr>
      <w:bookmarkStart w:id="28" w:name="ConsolidatedBalanceSheets_425893"/>
      <w:bookmarkEnd w:id="28"/>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9" w:name="Tc_rEnBsEQGvEenUQ6J2VMFSg_30_5"/>
      <w:bookmarkStart w:id="30" w:name="Tc_-jFxDmJqE0ePU4iifxRK5A_30_2"/>
      <w:bookmarkStart w:id="31" w:name="Tc_4Y8rqdsG-kuJBj9fbeqjfw_30_0"/>
      <w:bookmarkStart w:id="32" w:name="Tc_7hfIVdSeCUW0P9rWw1viLQ_29_0"/>
      <w:bookmarkStart w:id="33" w:name="Tc____64pSv2kejgwzUsnTEug_28_0"/>
      <w:bookmarkStart w:id="34" w:name="Tc__g81l-gFkUG8G8MOpPCi_Q_27_0"/>
      <w:bookmarkStart w:id="35" w:name="Tc_0S0tVRYPwUyfHd6aeE8SYg_26_0"/>
      <w:bookmarkStart w:id="36" w:name="Tc_3TnZbuQOCkqYmhKCJ-tDJw_25_0"/>
      <w:bookmarkStart w:id="37" w:name="Tc_cJfQMmPHPEapC5pw4QSAhw_24_0"/>
      <w:bookmarkStart w:id="38" w:name="Tc_huUgPYHUUEiNdRYL7NpAKw_23_0"/>
      <w:bookmarkStart w:id="39" w:name="Tc_pdVSgjWr7kmV2QkerzS-MA_22_0"/>
      <w:bookmarkStart w:id="40" w:name="Tc_t_ngG-EAq0WpTaVUD6xgXA_21_0"/>
      <w:bookmarkStart w:id="41" w:name="Tc_MiSEIGHszUmF7IW4ttLtlg_20_0"/>
      <w:bookmarkStart w:id="42" w:name="Tc_KHkAtf1hZUatsf_LBwpn1Q_19_0"/>
      <w:bookmarkStart w:id="43" w:name="Tc_2Y88u7oL9EaKRn6eccTrjQ_18_0"/>
      <w:bookmarkStart w:id="44" w:name="Tc_CqrUDZtPqk-k26Pq4pzozQ_17_0"/>
      <w:bookmarkStart w:id="45" w:name="Tc_hT5QUnuSVkaCAUGTNQPuUA_16_0"/>
      <w:bookmarkStart w:id="46" w:name="Tc_DTnMFZmw5Eyv1xH14FzT9Q_15_5"/>
      <w:bookmarkStart w:id="47" w:name="Tc_kn1YOa42tkG05oK1100B-w_15_2"/>
      <w:bookmarkStart w:id="48" w:name="Tc_dbWSZVGVJk-cssxpjcfggA_15_0"/>
      <w:bookmarkStart w:id="49" w:name="Tc_TCpPWnzgaEayQPncp2Oz8Q_14_0"/>
      <w:bookmarkStart w:id="50" w:name="Tc_6euRqekdMEWm5J-C7OcRUA_13_0"/>
      <w:bookmarkStart w:id="51" w:name="Tc_UDweO3Dihk2Udvw4izl3tA_12_5"/>
      <w:bookmarkStart w:id="52" w:name="Tc_j0QZiYEPmUy6W3NpHxU7ug_12_2"/>
      <w:bookmarkStart w:id="53" w:name="Tc_3XriK7QA2EmtITImKxrm2w_12_0"/>
      <w:bookmarkStart w:id="54" w:name="Tc_G3JrwWUND0uBQ4lOOPf9Ww_11_0"/>
      <w:bookmarkStart w:id="55" w:name="Tc_pWi2rG_erUOYBegUmVXSaA_10_0"/>
      <w:bookmarkStart w:id="56" w:name="Tc_I6K_ut7Ngku8cksXjjW_-g_9_0"/>
      <w:bookmarkStart w:id="57" w:name="Tc_1sogjU_b9kGos0yI0R7-Mg_8_0"/>
      <w:bookmarkStart w:id="58" w:name="Tc_cpLT-7PskEOmgnnyytt_hw_7_0"/>
      <w:bookmarkStart w:id="59" w:name="Tc_EdqIeyP7t0CSuUGZUAzvzA_6_0"/>
      <w:bookmarkStart w:id="60" w:name="Tc_mfYoIn3bukelx6f67R0lvw_5_5"/>
      <w:bookmarkStart w:id="61" w:name="Tc_uxTkTnJjMEuz0T28HvOZrg_5_2"/>
      <w:bookmarkStart w:id="62" w:name="Tc_RzKHQD2bYEml7USFL1kR3w_5_0"/>
      <w:bookmarkStart w:id="63" w:name="Tc_71mVUvzzYEmoAPnDwT80qg_4_0"/>
      <w:bookmarkStart w:id="64" w:name="Tc_ixQjDP6w_UCZaQxHE4MD5Q_3_0"/>
      <w:bookmarkStart w:id="65" w:name="Tc_W0VpSqdKz0CFCyerHmGVLA_2_5"/>
      <w:bookmarkStart w:id="66" w:name="Tc_dE6om1Es-U6E3WdbqNvtGQ_2_2"/>
      <w:bookmarkStart w:id="67" w:name="Tc_8Q4Xp7Bj8kKMhNzqcDfQiA_1_5"/>
      <w:bookmarkStart w:id="68" w:name="Tc_Jn9l2i0buEaRteEEKK45Ew_1_2"/>
      <w:bookmarkStart w:id="69" w:name="_b811c661_74dc_4a6b_ac33_c89dcd48bf03"/>
      <w:bookmarkStart w:id="70" w:name="Tc_rEnBsEQGvEenUQ6J2VMFSg_30_5"/>
      <w:bookmarkStart w:id="71" w:name="Tc_-jFxDmJqE0ePU4iifxRK5A_30_2"/>
      <w:bookmarkStart w:id="72" w:name="Tc_4Y8rqdsG-kuJBj9fbeqjfw_30_0"/>
      <w:bookmarkStart w:id="73" w:name="Tc_7hfIVdSeCUW0P9rWw1viLQ_29_0"/>
      <w:bookmarkStart w:id="74" w:name="Tc____64pSv2kejgwzUsnTEug_28_0"/>
      <w:bookmarkStart w:id="75" w:name="Tc__g81l-gFkUG8G8MOpPCi_Q_27_0"/>
      <w:bookmarkStart w:id="76" w:name="Tc_0S0tVRYPwUyfHd6aeE8SYg_26_0"/>
      <w:bookmarkStart w:id="77" w:name="Tc_3TnZbuQOCkqYmhKCJ-tDJw_25_0"/>
      <w:bookmarkStart w:id="78" w:name="Tc_cJfQMmPHPEapC5pw4QSAhw_24_0"/>
      <w:bookmarkStart w:id="79" w:name="Tc_huUgPYHUUEiNdRYL7NpAKw_23_0"/>
      <w:bookmarkStart w:id="80" w:name="Tc_pdVSgjWr7kmV2QkerzS-MA_22_0"/>
      <w:bookmarkStart w:id="81" w:name="Tc_t_ngG-EAq0WpTaVUD6xgXA_21_0"/>
      <w:bookmarkStart w:id="82" w:name="Tc_MiSEIGHszUmF7IW4ttLtlg_20_0"/>
      <w:bookmarkStart w:id="83" w:name="Tc_KHkAtf1hZUatsf_LBwpn1Q_19_0"/>
      <w:bookmarkStart w:id="84" w:name="Tc_2Y88u7oL9EaKRn6eccTrjQ_18_0"/>
      <w:bookmarkStart w:id="85" w:name="Tc_CqrUDZtPqk-k26Pq4pzozQ_17_0"/>
      <w:bookmarkStart w:id="86" w:name="Tc_hT5QUnuSVkaCAUGTNQPuUA_16_0"/>
      <w:bookmarkStart w:id="87" w:name="Tc_DTnMFZmw5Eyv1xH14FzT9Q_15_5"/>
      <w:bookmarkStart w:id="88" w:name="Tc_kn1YOa42tkG05oK1100B-w_15_2"/>
      <w:bookmarkStart w:id="89" w:name="Tc_dbWSZVGVJk-cssxpjcfggA_15_0"/>
      <w:bookmarkStart w:id="90" w:name="Tc_TCpPWnzgaEayQPncp2Oz8Q_14_0"/>
      <w:bookmarkStart w:id="91" w:name="Tc_6euRqekdMEWm5J-C7OcRUA_13_0"/>
      <w:bookmarkStart w:id="92" w:name="Tc_UDweO3Dihk2Udvw4izl3tA_12_5"/>
      <w:bookmarkStart w:id="93" w:name="Tc_j0QZiYEPmUy6W3NpHxU7ug_12_2"/>
      <w:bookmarkStart w:id="94" w:name="Tc_3XriK7QA2EmtITImKxrm2w_12_0"/>
      <w:bookmarkStart w:id="95" w:name="Tc_G3JrwWUND0uBQ4lOOPf9Ww_11_0"/>
      <w:bookmarkStart w:id="96" w:name="Tc_pWi2rG_erUOYBegUmVXSaA_10_0"/>
      <w:bookmarkStart w:id="97" w:name="Tc_I6K_ut7Ngku8cksXjjW_-g_9_0"/>
      <w:bookmarkStart w:id="98" w:name="Tc_1sogjU_b9kGos0yI0R7-Mg_8_0"/>
      <w:bookmarkStart w:id="99" w:name="Tc_cpLT-7PskEOmgnnyytt_hw_7_0"/>
      <w:bookmarkStart w:id="100" w:name="Tc_EdqIeyP7t0CSuUGZUAzvzA_6_0"/>
      <w:bookmarkStart w:id="101" w:name="Tc_mfYoIn3bukelx6f67R0lvw_5_5"/>
      <w:bookmarkStart w:id="102" w:name="Tc_uxTkTnJjMEuz0T28HvOZrg_5_2"/>
      <w:bookmarkStart w:id="103" w:name="Tc_RzKHQD2bYEml7USFL1kR3w_5_0"/>
      <w:bookmarkStart w:id="104" w:name="Tc_71mVUvzzYEmoAPnDwT80qg_4_0"/>
      <w:bookmarkStart w:id="105" w:name="Tc_ixQjDP6w_UCZaQxHE4MD5Q_3_0"/>
      <w:bookmarkStart w:id="106" w:name="Tc_W0VpSqdKz0CFCyerHmGVLA_2_5"/>
      <w:bookmarkStart w:id="107" w:name="Tc_dE6om1Es-U6E3WdbqNvtGQ_2_2"/>
      <w:bookmarkStart w:id="108" w:name="Tc_8Q4Xp7Bj8kKMhNzqcDfQiA_1_5"/>
      <w:bookmarkStart w:id="109" w:name="Tc_Jn9l2i0buEaRteEEKK45Ew_1_2"/>
      <w:bookmarkStart w:id="110" w:name="_b811c661_74dc_4a6b_ac33_c89dcd48bf03"/>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p>
    <w:tbl>
      <w:tblPr>
        <w:tblW w:w="10205" w:type="dxa"/>
        <w:jc w:val="left"/>
        <w:tblInd w:w="0" w:type="dxa"/>
        <w:tblLayout w:type="fixed"/>
        <w:tblCellMar>
          <w:top w:w="0" w:type="dxa"/>
          <w:left w:w="0" w:type="dxa"/>
          <w:bottom w:w="0" w:type="dxa"/>
          <w:right w:w="0" w:type="dxa"/>
        </w:tblCellMar>
      </w:tblPr>
      <w:tblGrid>
        <w:gridCol w:w="7322"/>
        <w:gridCol w:w="346"/>
        <w:gridCol w:w="196"/>
        <w:gridCol w:w="904"/>
        <w:gridCol w:w="346"/>
        <w:gridCol w:w="200"/>
        <w:gridCol w:w="891"/>
      </w:tblGrid>
      <w:tr>
        <w:trPr/>
        <w:tc>
          <w:tcPr>
            <w:tcW w:w="732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19710" cy="175260"/>
                      <wp:effectExtent l="0" t="0" r="0" b="0"/>
                      <wp:wrapNone/>
                      <wp:docPr id="4" name="Frame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24460" cy="175260"/>
                      <wp:effectExtent l="0" t="0" r="0" b="0"/>
                      <wp:wrapNone/>
                      <wp:docPr id="5" name="Frame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574040" cy="175260"/>
                      <wp:effectExtent l="0" t="0" r="0" b="0"/>
                      <wp:wrapNone/>
                      <wp:docPr id="6" name="Frame6"/>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9710" cy="175260"/>
                      <wp:effectExtent l="0" t="0" r="0" b="0"/>
                      <wp:wrapNone/>
                      <wp:docPr id="7" name="Frame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27000" cy="175260"/>
                      <wp:effectExtent l="0" t="0" r="0" b="0"/>
                      <wp:wrapNone/>
                      <wp:docPr id="8" name="Frame8"/>
                      <a:graphic xmlns:a="http://schemas.openxmlformats.org/drawingml/2006/main">
                        <a:graphicData uri="http://schemas.microsoft.com/office/word/2010/wordprocessingShape">
                          <wps:wsp>
                            <wps:cNvSpPr txBox="1"/>
                            <wps:spPr>
                              <a:xfrm>
                                <a:off x="0" y="0"/>
                                <a:ext cx="127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565785" cy="175260"/>
                      <wp:effectExtent l="0" t="0" r="0" b="0"/>
                      <wp:wrapNone/>
                      <wp:docPr id="9" name="Frame9"/>
                      <a:graphic xmlns:a="http://schemas.openxmlformats.org/drawingml/2006/main">
                        <a:graphicData uri="http://schemas.microsoft.com/office/word/2010/wordprocessingShape">
                          <wps:wsp>
                            <wps:cNvSpPr txBox="1"/>
                            <wps:spPr>
                              <a:xfrm>
                                <a:off x="0" y="0"/>
                                <a:ext cx="565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32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10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732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322"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Assets</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00" w:type="dxa"/>
            <w:tcBorders/>
            <w:shd w:fill="CCEEFF" w:val="clear"/>
            <w:vAlign w:val="center"/>
          </w:tcPr>
          <w:p>
            <w:pPr>
              <w:pStyle w:val="TableContents"/>
              <w:bidi w:val="0"/>
              <w:spacing w:before="0" w:after="0"/>
              <w:ind w:left="0" w:right="0" w:hanging="0"/>
              <w:jc w:val="left"/>
              <w:rPr/>
            </w:pPr>
            <w:r>
              <w:rPr/>
              <w:t>​</w:t>
            </w:r>
          </w:p>
        </w:tc>
        <w:tc>
          <w:tcPr>
            <w:tcW w:w="891" w:type="dxa"/>
            <w:tcBorders/>
            <w:shd w:fill="CCEEFF" w:val="clear"/>
            <w:vAlign w:val="center"/>
          </w:tcPr>
          <w:p>
            <w:pPr>
              <w:pStyle w:val="TableContents"/>
              <w:bidi w:val="0"/>
              <w:spacing w:before="0" w:after="0"/>
              <w:ind w:left="0" w:right="0" w:hanging="0"/>
              <w:jc w:val="right"/>
              <w:rPr/>
            </w:pPr>
            <w:r>
              <w:rPr/>
              <w:t>  ​</w:t>
            </w:r>
          </w:p>
        </w:tc>
      </w:tr>
      <w:tr>
        <w:trPr/>
        <w:tc>
          <w:tcPr>
            <w:tcW w:w="732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assets:</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w:t>
            </w:r>
          </w:p>
        </w:tc>
        <w:tc>
          <w:tcPr>
            <w:tcW w:w="891" w:type="dxa"/>
            <w:tcBorders/>
            <w:vAlign w:val="center"/>
          </w:tcPr>
          <w:p>
            <w:pPr>
              <w:pStyle w:val="TableContents"/>
              <w:bidi w:val="0"/>
              <w:spacing w:before="0" w:after="0"/>
              <w:ind w:left="0" w:right="0" w:hanging="0"/>
              <w:jc w:val="right"/>
              <w:rPr/>
            </w:pPr>
            <w:r>
              <w:rPr/>
              <w:t>  ​</w:t>
            </w:r>
          </w:p>
        </w:tc>
      </w:tr>
      <w:tr>
        <w:trPr/>
        <w:tc>
          <w:tcPr>
            <w:tcW w:w="732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510,052</w:t>
            </w:r>
          </w:p>
        </w:tc>
        <w:tc>
          <w:tcPr>
            <w:tcW w:w="34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628,110</w:t>
            </w:r>
          </w:p>
        </w:tc>
      </w:tr>
      <w:tr>
        <w:trPr/>
        <w:tc>
          <w:tcPr>
            <w:tcW w:w="732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17,765</w:t>
            </w:r>
          </w:p>
        </w:tc>
        <w:tc>
          <w:tcPr>
            <w:tcW w:w="34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19,181</w:t>
            </w:r>
          </w:p>
        </w:tc>
      </w:tr>
      <w:tr>
        <w:trPr/>
        <w:tc>
          <w:tcPr>
            <w:tcW w:w="732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Research and development incentives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47,419</w:t>
            </w:r>
          </w:p>
        </w:tc>
        <w:tc>
          <w:tcPr>
            <w:tcW w:w="346" w:type="dxa"/>
            <w:tcBorders/>
            <w:shd w:fill="CCEEFF" w:val="clear"/>
            <w:vAlign w:val="center"/>
          </w:tcPr>
          <w:p>
            <w:pPr>
              <w:pStyle w:val="TableContents"/>
              <w:bidi w:val="0"/>
              <w:spacing w:before="0" w:after="0"/>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35,594</w:t>
            </w:r>
          </w:p>
        </w:tc>
      </w:tr>
      <w:tr>
        <w:trPr/>
        <w:tc>
          <w:tcPr>
            <w:tcW w:w="732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575,236</w:t>
            </w:r>
          </w:p>
        </w:tc>
        <w:tc>
          <w:tcPr>
            <w:tcW w:w="34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682,885</w:t>
            </w:r>
          </w:p>
        </w:tc>
      </w:tr>
      <w:tr>
        <w:trPr/>
        <w:tc>
          <w:tcPr>
            <w:tcW w:w="732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Property and equipment,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4,695</w:t>
            </w:r>
          </w:p>
        </w:tc>
        <w:tc>
          <w:tcPr>
            <w:tcW w:w="34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 </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6,021</w:t>
            </w:r>
          </w:p>
        </w:tc>
      </w:tr>
      <w:tr>
        <w:trPr/>
        <w:tc>
          <w:tcPr>
            <w:tcW w:w="732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right-of-use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13,979</w:t>
            </w:r>
          </w:p>
        </w:tc>
        <w:tc>
          <w:tcPr>
            <w:tcW w:w="34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15,886</w:t>
            </w:r>
          </w:p>
        </w:tc>
      </w:tr>
      <w:tr>
        <w:trPr/>
        <w:tc>
          <w:tcPr>
            <w:tcW w:w="732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12,668</w:t>
            </w:r>
          </w:p>
        </w:tc>
        <w:tc>
          <w:tcPr>
            <w:tcW w:w="346" w:type="dxa"/>
            <w:tcBorders/>
            <w:shd w:fill="CCEEFF" w:val="clear"/>
            <w:vAlign w:val="center"/>
          </w:tcPr>
          <w:p>
            <w:pPr>
              <w:pStyle w:val="TableContents"/>
              <w:bidi w:val="0"/>
              <w:spacing w:before="0" w:after="0"/>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12,805</w:t>
            </w:r>
          </w:p>
        </w:tc>
      </w:tr>
      <w:tr>
        <w:trPr/>
        <w:tc>
          <w:tcPr>
            <w:tcW w:w="732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assets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606,578</w:t>
            </w:r>
          </w:p>
        </w:tc>
        <w:tc>
          <w:tcPr>
            <w:tcW w:w="346" w:type="dxa"/>
            <w:tcBorders/>
            <w:vAlign w:val="center"/>
          </w:tcPr>
          <w:p>
            <w:pPr>
              <w:pStyle w:val="TableContents"/>
              <w:bidi w:val="0"/>
              <w:spacing w:before="0" w:after="0"/>
              <w:ind w:left="0" w:right="0" w:hanging="0"/>
              <w:jc w:val="left"/>
              <w:rPr/>
            </w:pPr>
            <w:r>
              <w:rPr/>
              <w:t>​</w:t>
            </w:r>
          </w:p>
        </w:tc>
        <w:tc>
          <w:tcPr>
            <w:tcW w:w="20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717,597</w:t>
            </w:r>
          </w:p>
        </w:tc>
      </w:tr>
      <w:tr>
        <w:trPr/>
        <w:tc>
          <w:tcPr>
            <w:tcW w:w="7322"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Liabilities and shareholders’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04"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 </w:t>
            </w:r>
          </w:p>
        </w:tc>
        <w:tc>
          <w:tcPr>
            <w:tcW w:w="891" w:type="dxa"/>
            <w:tcBorders/>
            <w:shd w:fill="CCEEFF" w:val="clear"/>
            <w:vAlign w:val="center"/>
          </w:tcPr>
          <w:p>
            <w:pPr>
              <w:pStyle w:val="TableContents"/>
              <w:bidi w:val="0"/>
              <w:spacing w:before="0" w:after="0"/>
              <w:ind w:left="0" w:right="0" w:hanging="0"/>
              <w:jc w:val="right"/>
              <w:rPr/>
            </w:pPr>
            <w:r>
              <w:rPr/>
              <w:t>  ​</w:t>
            </w:r>
          </w:p>
        </w:tc>
      </w:tr>
      <w:tr>
        <w:trPr/>
        <w:tc>
          <w:tcPr>
            <w:tcW w:w="732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0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pPr>
            <w:r>
              <w:rPr/>
              <w:t>​</w:t>
            </w:r>
          </w:p>
        </w:tc>
      </w:tr>
      <w:tr>
        <w:trPr/>
        <w:tc>
          <w:tcPr>
            <w:tcW w:w="732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5,662</w:t>
            </w:r>
          </w:p>
        </w:tc>
        <w:tc>
          <w:tcPr>
            <w:tcW w:w="34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9,669</w:t>
            </w:r>
          </w:p>
        </w:tc>
      </w:tr>
      <w:tr>
        <w:trPr/>
        <w:tc>
          <w:tcPr>
            <w:tcW w:w="732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expenses and other current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39,094</w:t>
            </w:r>
          </w:p>
        </w:tc>
        <w:tc>
          <w:tcPr>
            <w:tcW w:w="34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44,354</w:t>
            </w:r>
          </w:p>
        </w:tc>
      </w:tr>
      <w:tr>
        <w:trPr/>
        <w:tc>
          <w:tcPr>
            <w:tcW w:w="732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revenue, current portion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2,879</w:t>
            </w:r>
          </w:p>
        </w:tc>
        <w:tc>
          <w:tcPr>
            <w:tcW w:w="346" w:type="dxa"/>
            <w:tcBorders/>
            <w:shd w:fill="CCEEFF" w:val="clear"/>
            <w:vAlign w:val="center"/>
          </w:tcPr>
          <w:p>
            <w:pPr>
              <w:pStyle w:val="TableContents"/>
              <w:bidi w:val="0"/>
              <w:spacing w:before="0" w:after="0"/>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2,961</w:t>
            </w:r>
          </w:p>
        </w:tc>
      </w:tr>
      <w:tr>
        <w:trPr/>
        <w:tc>
          <w:tcPr>
            <w:tcW w:w="732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47,635</w:t>
            </w:r>
          </w:p>
        </w:tc>
        <w:tc>
          <w:tcPr>
            <w:tcW w:w="34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56,984</w:t>
            </w:r>
          </w:p>
        </w:tc>
      </w:tr>
      <w:tr>
        <w:trPr/>
        <w:tc>
          <w:tcPr>
            <w:tcW w:w="732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liabilities, net of current portion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13,680</w:t>
            </w:r>
          </w:p>
        </w:tc>
        <w:tc>
          <w:tcPr>
            <w:tcW w:w="34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 </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14,096</w:t>
            </w:r>
          </w:p>
        </w:tc>
      </w:tr>
      <w:tr>
        <w:trPr/>
        <w:tc>
          <w:tcPr>
            <w:tcW w:w="732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revenue, net of current portion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34,077</w:t>
            </w:r>
          </w:p>
        </w:tc>
        <w:tc>
          <w:tcPr>
            <w:tcW w:w="34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8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35,508</w:t>
            </w:r>
          </w:p>
        </w:tc>
      </w:tr>
      <w:tr>
        <w:trPr/>
        <w:tc>
          <w:tcPr>
            <w:tcW w:w="732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long</w:t>
              <w:noBreakHyphen/>
              <w:t>term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931</w:t>
            </w:r>
          </w:p>
        </w:tc>
        <w:tc>
          <w:tcPr>
            <w:tcW w:w="346" w:type="dxa"/>
            <w:tcBorders/>
            <w:shd w:fill="CCEEFF" w:val="clear"/>
            <w:vAlign w:val="center"/>
          </w:tcPr>
          <w:p>
            <w:pPr>
              <w:pStyle w:val="TableContents"/>
              <w:bidi w:val="0"/>
              <w:spacing w:before="0" w:after="0"/>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1,032</w:t>
            </w:r>
          </w:p>
        </w:tc>
      </w:tr>
      <w:tr>
        <w:trPr/>
        <w:tc>
          <w:tcPr>
            <w:tcW w:w="732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96,323</w:t>
            </w:r>
          </w:p>
        </w:tc>
        <w:tc>
          <w:tcPr>
            <w:tcW w:w="346" w:type="dxa"/>
            <w:tcBorders/>
            <w:vAlign w:val="center"/>
          </w:tcPr>
          <w:p>
            <w:pPr>
              <w:pStyle w:val="TableContents"/>
              <w:bidi w:val="0"/>
              <w:spacing w:before="0" w:after="0"/>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107,620</w:t>
            </w:r>
          </w:p>
        </w:tc>
      </w:tr>
      <w:tr>
        <w:trPr/>
        <w:tc>
          <w:tcPr>
            <w:tcW w:w="732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Commitments and contingencies (Note 10)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04"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 </w:t>
            </w:r>
          </w:p>
        </w:tc>
        <w:tc>
          <w:tcPr>
            <w:tcW w:w="891" w:type="dxa"/>
            <w:tcBorders/>
            <w:shd w:fill="CCEEFF" w:val="clear"/>
            <w:vAlign w:val="center"/>
          </w:tcPr>
          <w:p>
            <w:pPr>
              <w:pStyle w:val="TableContents"/>
              <w:bidi w:val="0"/>
              <w:spacing w:before="0" w:after="0"/>
              <w:ind w:left="0" w:right="0" w:hanging="0"/>
              <w:jc w:val="right"/>
              <w:rPr/>
            </w:pPr>
            <w:r>
              <w:rPr/>
              <w:t>  ​</w:t>
            </w:r>
          </w:p>
        </w:tc>
      </w:tr>
      <w:tr>
        <w:trPr/>
        <w:tc>
          <w:tcPr>
            <w:tcW w:w="732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Shareholders’ equity: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04"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pPr>
            <w:r>
              <w:rPr/>
              <w:t>  ​</w:t>
            </w:r>
          </w:p>
        </w:tc>
      </w:tr>
      <w:tr>
        <w:trPr/>
        <w:tc>
          <w:tcPr>
            <w:tcW w:w="732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Ordinary shares, including non-voting ordinary shares, £0.01 nominal value; 163,361,109 and 159,685,229 shares authorized on June 30, 2026 and December 31, 2025, respectively; 69,814,145 and 69,367,896 shares issued and outstanding at June 30, 2026 and December 31, 2025,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900</w:t>
            </w:r>
          </w:p>
        </w:tc>
        <w:tc>
          <w:tcPr>
            <w:tcW w:w="34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 </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894</w:t>
            </w:r>
          </w:p>
        </w:tc>
      </w:tr>
      <w:tr>
        <w:trPr/>
        <w:tc>
          <w:tcPr>
            <w:tcW w:w="732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Additional paid-in capital</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1,525,680</w:t>
            </w:r>
          </w:p>
        </w:tc>
        <w:tc>
          <w:tcPr>
            <w:tcW w:w="34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1,512,339</w:t>
            </w:r>
          </w:p>
        </w:tc>
      </w:tr>
      <w:tr>
        <w:trPr/>
        <w:tc>
          <w:tcPr>
            <w:tcW w:w="732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Accumulated other comprehensive loss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(5,416)</w:t>
            </w:r>
          </w:p>
        </w:tc>
        <w:tc>
          <w:tcPr>
            <w:tcW w:w="34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 </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(3,505)</w:t>
            </w:r>
          </w:p>
        </w:tc>
      </w:tr>
      <w:tr>
        <w:trPr/>
        <w:tc>
          <w:tcPr>
            <w:tcW w:w="732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Accumulated deficit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(1,010,909)</w:t>
            </w:r>
          </w:p>
        </w:tc>
        <w:tc>
          <w:tcPr>
            <w:tcW w:w="346" w:type="dxa"/>
            <w:tcBorders/>
            <w:vAlign w:val="center"/>
          </w:tcPr>
          <w:p>
            <w:pPr>
              <w:pStyle w:val="TableContents"/>
              <w:bidi w:val="0"/>
              <w:spacing w:before="0" w:after="0"/>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(899,751)</w:t>
            </w:r>
          </w:p>
        </w:tc>
      </w:tr>
      <w:tr>
        <w:trPr/>
        <w:tc>
          <w:tcPr>
            <w:tcW w:w="732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shareholders’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510,255</w:t>
            </w:r>
          </w:p>
        </w:tc>
        <w:tc>
          <w:tcPr>
            <w:tcW w:w="346" w:type="dxa"/>
            <w:tcBorders/>
            <w:shd w:fill="CCEEFF" w:val="clear"/>
            <w:vAlign w:val="center"/>
          </w:tcPr>
          <w:p>
            <w:pPr>
              <w:pStyle w:val="TableContents"/>
              <w:bidi w:val="0"/>
              <w:spacing w:before="0" w:after="0"/>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609,977</w:t>
            </w:r>
          </w:p>
        </w:tc>
      </w:tr>
      <w:tr>
        <w:trPr/>
        <w:tc>
          <w:tcPr>
            <w:tcW w:w="732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liabilities and shareholders’ equity</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606,578</w:t>
            </w:r>
          </w:p>
        </w:tc>
        <w:tc>
          <w:tcPr>
            <w:tcW w:w="346" w:type="dxa"/>
            <w:tcBorders/>
            <w:vAlign w:val="center"/>
          </w:tcPr>
          <w:p>
            <w:pPr>
              <w:pStyle w:val="TableContents"/>
              <w:bidi w:val="0"/>
              <w:spacing w:before="0" w:after="0"/>
              <w:ind w:left="0" w:right="0" w:hanging="0"/>
              <w:jc w:val="left"/>
              <w:rPr/>
            </w:pPr>
            <w:r>
              <w:rPr/>
              <w:t>​</w:t>
            </w:r>
          </w:p>
        </w:tc>
        <w:tc>
          <w:tcPr>
            <w:tcW w:w="20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9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717,597</w:t>
            </w:r>
          </w:p>
        </w:tc>
      </w:tr>
    </w:tbl>
    <w:p>
      <w:pPr>
        <w:pStyle w:val="TextBody"/>
        <w:bidi w:val="0"/>
        <w:spacing w:before="0" w:after="0"/>
        <w:ind w:left="0" w:right="0" w:hanging="0"/>
        <w:jc w:val="left"/>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11" w:name="_70664335_2e12_4b21_86a2_46b2f3a76a78"/>
      <w:bookmarkEnd w:id="111"/>
      <w:r>
        <w:rPr>
          <w:rFonts w:ascii="Times New Roman;Times;serif" w:hAnsi="Times New Roman;Times;serif"/>
          <w:b/>
          <w:sz w:val="20"/>
        </w:rPr>
        <w:t>Bicycle Therapeutics plc</w:t>
      </w:r>
    </w:p>
    <w:p>
      <w:pPr>
        <w:pStyle w:val="TextBody"/>
        <w:bidi w:val="0"/>
        <w:spacing w:before="0" w:after="0"/>
        <w:ind w:left="0" w:right="0" w:hanging="0"/>
        <w:jc w:val="center"/>
        <w:rPr>
          <w:rFonts w:ascii="Times New Roman;Times;serif" w:hAnsi="Times New Roman;Times;serif"/>
          <w:b/>
          <w:sz w:val="20"/>
        </w:rPr>
      </w:pPr>
      <w:bookmarkStart w:id="112" w:name="ConsolidatedStatementsofOperations_22675"/>
      <w:bookmarkEnd w:id="112"/>
      <w:r>
        <w:rPr>
          <w:rFonts w:ascii="Times New Roman;Times;serif" w:hAnsi="Times New Roman;Times;serif"/>
          <w:b/>
          <w:sz w:val="20"/>
        </w:rPr>
        <w:t>Condensed Consolidated Statements of Operations and Comprehensive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13" w:name="Tc_JBEJqpFMdEa7Z-nTjupriQ_24_11"/>
      <w:bookmarkStart w:id="114" w:name="Tc_qtN9s0fVBU6ZTKOzTay4xw_24_8"/>
      <w:bookmarkStart w:id="115" w:name="Tc_uqkY85fiLkKP6zloNoxWrA_24_5"/>
      <w:bookmarkStart w:id="116" w:name="Tc_dcgTA8A5HEKwIqNqTu5JVQ_24_2"/>
      <w:bookmarkStart w:id="117" w:name="Tc_l46_69-XY0K9OfmIKEqV9Q_24_0"/>
      <w:bookmarkStart w:id="118" w:name="Tc_UX_2ElVWhk6yTcRfK4nGhg_23_0"/>
      <w:bookmarkStart w:id="119" w:name="Tc_XzZjVJVK3EaiojK-I4EvYA_22_0"/>
      <w:bookmarkStart w:id="120" w:name="Tc_nlLwk68UZ0Kl-vfEzgRc1Q_21_11"/>
      <w:bookmarkStart w:id="121" w:name="Tc_PZGinJIkvE6SavpMlr6_4g_21_8"/>
      <w:bookmarkStart w:id="122" w:name="Tc_uiqO8uCoIEyCdYyyDQQygQ_21_5"/>
      <w:bookmarkStart w:id="123" w:name="Tc_fwXIYagRGEKCVUbG4baQzw_21_2"/>
      <w:bookmarkStart w:id="124" w:name="Tc_9Dqrdo1w9kWsLSFpXyG0Ww_21_0"/>
      <w:bookmarkStart w:id="125" w:name="Tc_sFY1rsr8d0aOB3yMIKZHxw_20_0"/>
      <w:bookmarkStart w:id="126" w:name="Tc_I1mHgvkyKUOnm80pcSnspA_18_0"/>
      <w:bookmarkStart w:id="127" w:name="Tc_Ov35fW8Sgk2ND525z-bVcQ_17_11"/>
      <w:bookmarkStart w:id="128" w:name="Tc_SyKIYeTt9EiVZyx4isZOvw_17_8"/>
      <w:bookmarkStart w:id="129" w:name="Tc__2Fi2Ia3Zkay-OrfUC5qGw_17_5"/>
      <w:bookmarkStart w:id="130" w:name="Tc_53apu342-k6is2FyzwD0Vw_17_2"/>
      <w:bookmarkStart w:id="131" w:name="Tc_Ukwtns2r3UezU0myj58T8A_17_0"/>
      <w:bookmarkStart w:id="132" w:name="Tc_rkMTl9G7E0SjVqkbVo11hw_16_11"/>
      <w:bookmarkStart w:id="133" w:name="Tc_XITCGTY-GkerdmJQLuZ8PA_16_8"/>
      <w:bookmarkStart w:id="134" w:name="Tc_vWsxaL5xvkCr1-YX2vZRFw_16_5"/>
      <w:bookmarkStart w:id="135" w:name="Tc_nTOTUkuaX0ywiCQemTYf6A_16_2"/>
      <w:bookmarkStart w:id="136" w:name="Tc_MbC9ymYMN0O_LHA8EHThVw_16_0"/>
      <w:bookmarkStart w:id="137" w:name="Tc_zzuGgyUFQkKuT-NooP1VxQ_15_0"/>
      <w:bookmarkStart w:id="138" w:name="Tc_Ggd8KnFzSkC7QLL6xOVzFQ_14_0"/>
      <w:bookmarkStart w:id="139" w:name="Tc_PpcehWGcIEyYYyvOZ4YJAQ_13_0"/>
      <w:bookmarkStart w:id="140" w:name="Tc_97nKPdTph0GJimfUzzOnjw_12_0"/>
      <w:bookmarkStart w:id="141" w:name="Tc_JkcMy2MUrkStlN7X3mRqIw_11_0"/>
      <w:bookmarkStart w:id="142" w:name="Tc_ePjM3ZcHsUC04SnEff_3dw_10_0"/>
      <w:bookmarkStart w:id="143" w:name="Tc_8vRMEaU2cU6ZXGWEu1xnUg_9_0"/>
      <w:bookmarkStart w:id="144" w:name="Tc_MoQgCf54eU-ctmDwnTDxzg_8_0"/>
      <w:bookmarkStart w:id="145" w:name="Tc_kVX1ud4ttk-dwKWFSKspIw_7_0"/>
      <w:bookmarkStart w:id="146" w:name="Tc_cUeEN2IVY06cRSpHSVvXug_6_0"/>
      <w:bookmarkStart w:id="147" w:name="Tc_UBDOvZIBW0aKLFrPdB-kwA_5_0"/>
      <w:bookmarkStart w:id="148" w:name="Tc_MsEee21JokSV0SYdCiu_Hg_4_11"/>
      <w:bookmarkStart w:id="149" w:name="Tc_5LSFNG7F7Uaf_fcVhKIu1w_4_8"/>
      <w:bookmarkStart w:id="150" w:name="Tc_4A4yuCUCpEi336Z3ChuEmQ_4_5"/>
      <w:bookmarkStart w:id="151" w:name="Tc_S7xySyAwWU6McnwpZNHVeA_4_2"/>
      <w:bookmarkStart w:id="152" w:name="Tc_XXyBueOge0afAatoxlYCAA_4_0"/>
      <w:bookmarkStart w:id="153" w:name="Tc_HFMmam2ct0WIFeLnxZKDhA_3_11"/>
      <w:bookmarkStart w:id="154" w:name="Tc_8Nak-SkzOEC7p_qGtbMAtA_3_8"/>
      <w:bookmarkStart w:id="155" w:name="Tc_bPM-oflZJEeqs73t4wG-UQ_3_5"/>
      <w:bookmarkStart w:id="156" w:name="Tc_dA3nAlv4Y0-NYkL41RGULQ_3_2"/>
      <w:bookmarkStart w:id="157" w:name="Tc_bf0NwpyImkiJWmbdHTLFEg_2_8"/>
      <w:bookmarkStart w:id="158" w:name="Tc_H6Has7YDrkmB0pxAe8MXjA_2_2"/>
      <w:bookmarkStart w:id="159" w:name="Tc_8gKowsbUd0CGLyb5jDsTWg_1_8"/>
      <w:bookmarkStart w:id="160" w:name="Tc_SHxCv90EmEOnYO9kL3f8wg_1_2"/>
      <w:bookmarkStart w:id="161" w:name="_12e317d3_5daf_4a62_a0bd_6fa8261a977a"/>
      <w:bookmarkStart w:id="162" w:name="_ac016830_9f77_42c3_89b9_212f87d30942"/>
      <w:bookmarkStart w:id="163" w:name="Tc_JBEJqpFMdEa7Z-nTjupriQ_24_11"/>
      <w:bookmarkStart w:id="164" w:name="Tc_qtN9s0fVBU6ZTKOzTay4xw_24_8"/>
      <w:bookmarkStart w:id="165" w:name="Tc_uqkY85fiLkKP6zloNoxWrA_24_5"/>
      <w:bookmarkStart w:id="166" w:name="Tc_dcgTA8A5HEKwIqNqTu5JVQ_24_2"/>
      <w:bookmarkStart w:id="167" w:name="Tc_l46_69-XY0K9OfmIKEqV9Q_24_0"/>
      <w:bookmarkStart w:id="168" w:name="Tc_UX_2ElVWhk6yTcRfK4nGhg_23_0"/>
      <w:bookmarkStart w:id="169" w:name="Tc_XzZjVJVK3EaiojK-I4EvYA_22_0"/>
      <w:bookmarkStart w:id="170" w:name="Tc_nlLwk68UZ0Kl-vfEzgRc1Q_21_11"/>
      <w:bookmarkStart w:id="171" w:name="Tc_PZGinJIkvE6SavpMlr6_4g_21_8"/>
      <w:bookmarkStart w:id="172" w:name="Tc_uiqO8uCoIEyCdYyyDQQygQ_21_5"/>
      <w:bookmarkStart w:id="173" w:name="Tc_fwXIYagRGEKCVUbG4baQzw_21_2"/>
      <w:bookmarkStart w:id="174" w:name="Tc_9Dqrdo1w9kWsLSFpXyG0Ww_21_0"/>
      <w:bookmarkStart w:id="175" w:name="Tc_sFY1rsr8d0aOB3yMIKZHxw_20_0"/>
      <w:bookmarkStart w:id="176" w:name="Tc_I1mHgvkyKUOnm80pcSnspA_18_0"/>
      <w:bookmarkStart w:id="177" w:name="Tc_Ov35fW8Sgk2ND525z-bVcQ_17_11"/>
      <w:bookmarkStart w:id="178" w:name="Tc_SyKIYeTt9EiVZyx4isZOvw_17_8"/>
      <w:bookmarkStart w:id="179" w:name="Tc__2Fi2Ia3Zkay-OrfUC5qGw_17_5"/>
      <w:bookmarkStart w:id="180" w:name="Tc_53apu342-k6is2FyzwD0Vw_17_2"/>
      <w:bookmarkStart w:id="181" w:name="Tc_Ukwtns2r3UezU0myj58T8A_17_0"/>
      <w:bookmarkStart w:id="182" w:name="Tc_rkMTl9G7E0SjVqkbVo11hw_16_11"/>
      <w:bookmarkStart w:id="183" w:name="Tc_XITCGTY-GkerdmJQLuZ8PA_16_8"/>
      <w:bookmarkStart w:id="184" w:name="Tc_vWsxaL5xvkCr1-YX2vZRFw_16_5"/>
      <w:bookmarkStart w:id="185" w:name="Tc_nTOTUkuaX0ywiCQemTYf6A_16_2"/>
      <w:bookmarkStart w:id="186" w:name="Tc_MbC9ymYMN0O_LHA8EHThVw_16_0"/>
      <w:bookmarkStart w:id="187" w:name="Tc_zzuGgyUFQkKuT-NooP1VxQ_15_0"/>
      <w:bookmarkStart w:id="188" w:name="Tc_Ggd8KnFzSkC7QLL6xOVzFQ_14_0"/>
      <w:bookmarkStart w:id="189" w:name="Tc_PpcehWGcIEyYYyvOZ4YJAQ_13_0"/>
      <w:bookmarkStart w:id="190" w:name="Tc_97nKPdTph0GJimfUzzOnjw_12_0"/>
      <w:bookmarkStart w:id="191" w:name="Tc_JkcMy2MUrkStlN7X3mRqIw_11_0"/>
      <w:bookmarkStart w:id="192" w:name="Tc_ePjM3ZcHsUC04SnEff_3dw_10_0"/>
      <w:bookmarkStart w:id="193" w:name="Tc_8vRMEaU2cU6ZXGWEu1xnUg_9_0"/>
      <w:bookmarkStart w:id="194" w:name="Tc_MoQgCf54eU-ctmDwnTDxzg_8_0"/>
      <w:bookmarkStart w:id="195" w:name="Tc_kVX1ud4ttk-dwKWFSKspIw_7_0"/>
      <w:bookmarkStart w:id="196" w:name="Tc_cUeEN2IVY06cRSpHSVvXug_6_0"/>
      <w:bookmarkStart w:id="197" w:name="Tc_UBDOvZIBW0aKLFrPdB-kwA_5_0"/>
      <w:bookmarkStart w:id="198" w:name="Tc_MsEee21JokSV0SYdCiu_Hg_4_11"/>
      <w:bookmarkStart w:id="199" w:name="Tc_5LSFNG7F7Uaf_fcVhKIu1w_4_8"/>
      <w:bookmarkStart w:id="200" w:name="Tc_4A4yuCUCpEi336Z3ChuEmQ_4_5"/>
      <w:bookmarkStart w:id="201" w:name="Tc_S7xySyAwWU6McnwpZNHVeA_4_2"/>
      <w:bookmarkStart w:id="202" w:name="Tc_XXyBueOge0afAatoxlYCAA_4_0"/>
      <w:bookmarkStart w:id="203" w:name="Tc_HFMmam2ct0WIFeLnxZKDhA_3_11"/>
      <w:bookmarkStart w:id="204" w:name="Tc_8Nak-SkzOEC7p_qGtbMAtA_3_8"/>
      <w:bookmarkStart w:id="205" w:name="Tc_bPM-oflZJEeqs73t4wG-UQ_3_5"/>
      <w:bookmarkStart w:id="206" w:name="Tc_dA3nAlv4Y0-NYkL41RGULQ_3_2"/>
      <w:bookmarkStart w:id="207" w:name="Tc_bf0NwpyImkiJWmbdHTLFEg_2_8"/>
      <w:bookmarkStart w:id="208" w:name="Tc_H6Has7YDrkmB0pxAe8MXjA_2_2"/>
      <w:bookmarkStart w:id="209" w:name="Tc_8gKowsbUd0CGLyb5jDsTWg_1_8"/>
      <w:bookmarkStart w:id="210" w:name="Tc_SHxCv90EmEOnYO9kL3f8wg_1_2"/>
      <w:bookmarkStart w:id="211" w:name="_12e317d3_5daf_4a62_a0bd_6fa8261a977a"/>
      <w:bookmarkStart w:id="212" w:name="_ac016830_9f77_42c3_89b9_212f87d3094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p>
    <w:tbl>
      <w:tblPr>
        <w:tblW w:w="10205" w:type="dxa"/>
        <w:jc w:val="left"/>
        <w:tblInd w:w="0" w:type="dxa"/>
        <w:tblLayout w:type="fixed"/>
        <w:tblCellMar>
          <w:top w:w="0" w:type="dxa"/>
          <w:left w:w="0" w:type="dxa"/>
          <w:bottom w:w="0" w:type="dxa"/>
          <w:right w:w="0" w:type="dxa"/>
        </w:tblCellMar>
      </w:tblPr>
      <w:tblGrid>
        <w:gridCol w:w="3788"/>
        <w:gridCol w:w="346"/>
        <w:gridCol w:w="211"/>
        <w:gridCol w:w="1036"/>
        <w:gridCol w:w="346"/>
        <w:gridCol w:w="211"/>
        <w:gridCol w:w="1036"/>
        <w:gridCol w:w="346"/>
        <w:gridCol w:w="211"/>
        <w:gridCol w:w="1036"/>
        <w:gridCol w:w="346"/>
        <w:gridCol w:w="211"/>
        <w:gridCol w:w="1081"/>
      </w:tblGrid>
      <w:tr>
        <w:trPr/>
        <w:tc>
          <w:tcPr>
            <w:tcW w:w="37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405380" cy="175260"/>
                      <wp:effectExtent l="0" t="0" r="0" b="0"/>
                      <wp:wrapNone/>
                      <wp:docPr id="10" name="Frame10"/>
                      <a:graphic xmlns:a="http://schemas.openxmlformats.org/drawingml/2006/main">
                        <a:graphicData uri="http://schemas.microsoft.com/office/word/2010/wordprocessingShape">
                          <wps:wsp>
                            <wps:cNvSpPr txBox="1"/>
                            <wps:spPr>
                              <a:xfrm>
                                <a:off x="0" y="0"/>
                                <a:ext cx="2405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11" name="Frame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985" cy="175260"/>
                      <wp:effectExtent l="0" t="0" r="0" b="0"/>
                      <wp:wrapNone/>
                      <wp:docPr id="12" name="Frame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57860" cy="175260"/>
                      <wp:effectExtent l="0" t="0" r="0" b="0"/>
                      <wp:wrapNone/>
                      <wp:docPr id="13" name="Frame1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175260"/>
                      <wp:effectExtent l="0" t="0" r="0" b="0"/>
                      <wp:wrapNone/>
                      <wp:docPr id="14" name="Frame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5" name="Frame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57860" cy="175260"/>
                      <wp:effectExtent l="0" t="0" r="0" b="0"/>
                      <wp:wrapNone/>
                      <wp:docPr id="16" name="Frame1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7" name="Frame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985" cy="175260"/>
                      <wp:effectExtent l="0" t="0" r="0" b="0"/>
                      <wp:wrapNone/>
                      <wp:docPr id="18" name="Frame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57860" cy="175260"/>
                      <wp:effectExtent l="0" t="0" r="0" b="0"/>
                      <wp:wrapNone/>
                      <wp:docPr id="19" name="Frame1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20" name="Frame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985" cy="175260"/>
                      <wp:effectExtent l="0" t="0" r="0" b="0"/>
                      <wp:wrapNone/>
                      <wp:docPr id="21" name="Frame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86435" cy="175260"/>
                      <wp:effectExtent l="0" t="0" r="0" b="0"/>
                      <wp:wrapNone/>
                      <wp:docPr id="22" name="Frame22"/>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84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center"/>
              <w:rPr/>
            </w:pPr>
            <w:r>
              <w:rPr/>
              <w:t>​</w:t>
            </w:r>
          </w:p>
        </w:tc>
        <w:tc>
          <w:tcPr>
            <w:tcW w:w="288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7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8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28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7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2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7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Collaboration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2,920</w:t>
            </w:r>
          </w:p>
        </w:tc>
        <w:tc>
          <w:tcPr>
            <w:tcW w:w="346"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12,897</w:t>
            </w:r>
          </w:p>
        </w:tc>
      </w:tr>
      <w:tr>
        <w:trPr/>
        <w:tc>
          <w:tcPr>
            <w:tcW w:w="37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pPr>
            <w:r>
              <w:rPr/>
              <w:t>  ​</w:t>
            </w:r>
          </w:p>
        </w:tc>
      </w:tr>
      <w:tr>
        <w:trPr/>
        <w:tc>
          <w:tcPr>
            <w:tcW w:w="37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130,087</w:t>
            </w:r>
          </w:p>
        </w:tc>
      </w:tr>
      <w:tr>
        <w:trPr/>
        <w:tc>
          <w:tcPr>
            <w:tcW w:w="37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14,028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18,493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31,496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39,616</w:t>
            </w:r>
          </w:p>
        </w:tc>
      </w:tr>
      <w:tr>
        <w:trPr/>
        <w:tc>
          <w:tcPr>
            <w:tcW w:w="37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89,522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121,557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169,703</w:t>
            </w:r>
          </w:p>
        </w:tc>
      </w:tr>
      <w:tr>
        <w:trPr/>
        <w:tc>
          <w:tcPr>
            <w:tcW w:w="37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(54,559)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(86,602)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(120,041)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(156,806)</w:t>
            </w:r>
          </w:p>
        </w:tc>
      </w:tr>
      <w:tr>
        <w:trPr/>
        <w:tc>
          <w:tcPr>
            <w:tcW w:w="37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pPr>
            <w:r>
              <w:rPr/>
              <w:t>  ​</w:t>
            </w:r>
          </w:p>
        </w:tc>
      </w:tr>
      <w:tr>
        <w:trPr/>
        <w:tc>
          <w:tcPr>
            <w:tcW w:w="37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other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9,237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15,887</w:t>
            </w:r>
          </w:p>
        </w:tc>
      </w:tr>
      <w:tr>
        <w:trPr/>
        <w:tc>
          <w:tcPr>
            <w:tcW w:w="37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r>
      <w:tr>
        <w:trPr/>
        <w:tc>
          <w:tcPr>
            <w:tcW w:w="37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income,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7,419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9,145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15,782</w:t>
            </w:r>
          </w:p>
        </w:tc>
      </w:tr>
      <w:tr>
        <w:trPr/>
        <w:tc>
          <w:tcPr>
            <w:tcW w:w="37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before income tax provision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(50,243)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(79,183)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(110,896)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(141,024)</w:t>
            </w:r>
          </w:p>
        </w:tc>
      </w:tr>
      <w:tr>
        <w:trPr/>
        <w:tc>
          <w:tcPr>
            <w:tcW w:w="37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(benefit from)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(1,318)</w:t>
            </w:r>
          </w:p>
        </w:tc>
      </w:tr>
      <w:tr>
        <w:trPr/>
        <w:tc>
          <w:tcPr>
            <w:tcW w:w="37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(78,952)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(111,158)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(139,706)</w:t>
            </w:r>
          </w:p>
        </w:tc>
      </w:tr>
      <w:tr>
        <w:trPr/>
        <w:tc>
          <w:tcPr>
            <w:tcW w:w="37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 basic and diluted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r>
      <w:tr>
        <w:trPr/>
        <w:tc>
          <w:tcPr>
            <w:tcW w:w="37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ordinary shares outstanding, basic and 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69,804,828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69,252,009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69,744,485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69,224,629</w:t>
            </w:r>
          </w:p>
        </w:tc>
      </w:tr>
      <w:tr>
        <w:trPr/>
        <w:tc>
          <w:tcPr>
            <w:tcW w:w="37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r>
      <w:tr>
        <w:trPr/>
        <w:tc>
          <w:tcPr>
            <w:tcW w:w="37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pPr>
            <w:r>
              <w:rPr/>
              <w:t>  ​</w:t>
            </w:r>
          </w:p>
        </w:tc>
      </w:tr>
      <w:tr>
        <w:trPr/>
        <w:tc>
          <w:tcPr>
            <w:tcW w:w="37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(50,333)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(78,952)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(111,158)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(139,706)</w:t>
            </w:r>
          </w:p>
        </w:tc>
      </w:tr>
      <w:tr>
        <w:trPr/>
        <w:tc>
          <w:tcPr>
            <w:tcW w:w="37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pPr>
            <w:r>
              <w:rPr/>
              <w:t>  ​</w:t>
            </w:r>
          </w:p>
        </w:tc>
      </w:tr>
      <w:tr>
        <w:trPr/>
        <w:tc>
          <w:tcPr>
            <w:tcW w:w="37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(3,482)</w:t>
            </w:r>
          </w:p>
        </w:tc>
      </w:tr>
      <w:tr>
        <w:trPr/>
        <w:tc>
          <w:tcPr>
            <w:tcW w:w="37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comprehensive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(80,854)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(113,069)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(143,188)</w:t>
            </w:r>
          </w:p>
        </w:tc>
      </w:tr>
    </w:tbl>
    <w:p>
      <w:pPr>
        <w:pStyle w:val="TextBody"/>
        <w:bidi w:val="0"/>
        <w:spacing w:before="0" w:after="0"/>
        <w:ind w:left="0" w:right="0" w:hanging="0"/>
        <w:jc w:val="left"/>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 condensed consolidated financial statements</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13" w:name="_5b7f618c_ec92_4e69_b40f_f7c59fa42b74"/>
      <w:bookmarkEnd w:id="213"/>
      <w:r>
        <w:rPr>
          <w:rFonts w:ascii="Times New Roman;Times;serif" w:hAnsi="Times New Roman;Times;serif"/>
          <w:b/>
          <w:sz w:val="20"/>
        </w:rPr>
        <w:t>Bicycle Therapeutics plc</w:t>
      </w:r>
    </w:p>
    <w:p>
      <w:pPr>
        <w:pStyle w:val="TextBody"/>
        <w:bidi w:val="0"/>
        <w:spacing w:before="0" w:after="0"/>
        <w:ind w:left="0" w:right="0" w:hanging="0"/>
        <w:jc w:val="center"/>
        <w:rPr>
          <w:rFonts w:ascii="Times New Roman;Times;serif" w:hAnsi="Times New Roman;Times;serif"/>
          <w:b/>
          <w:sz w:val="20"/>
        </w:rPr>
      </w:pPr>
      <w:bookmarkStart w:id="214" w:name="ShareholdersEquityDeficit_990378"/>
      <w:bookmarkEnd w:id="214"/>
      <w:r>
        <w:rPr>
          <w:rFonts w:ascii="Times New Roman;Times;serif" w:hAnsi="Times New Roman;Times;serif"/>
          <w:b/>
          <w:sz w:val="20"/>
        </w:rPr>
        <w:t>Condensed Consolidated Statements of Shareholders’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data)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15" w:name="Tc_QZMBq1npWU-nkcok4KdAYA_17_16"/>
      <w:bookmarkStart w:id="216" w:name="Tc_NLxi49irfk2q7UNX53V8zQ_17_13"/>
      <w:bookmarkStart w:id="217" w:name="Tc_SHJpykgNnESA22zmCgtodw_17_10"/>
      <w:bookmarkStart w:id="218" w:name="Tc_nqfKvPOc7EyvXXDu6tOu5A_17_7"/>
      <w:bookmarkStart w:id="219" w:name="Tc_ThQzED5mvE-yuvn1-F7RLQ_17_4"/>
      <w:bookmarkStart w:id="220" w:name="Tc_VIWLML-ZiEiYW184amD1HQ_17_0"/>
      <w:bookmarkStart w:id="221" w:name="Tc__XI0pi8zj0O_MGayQKxTNw_16_11"/>
      <w:bookmarkStart w:id="222" w:name="Tc_J3BAscP5pUiCm8nhKudaeA_16_8"/>
      <w:bookmarkStart w:id="223" w:name="Tc_wkq3QBZ8VEKNzj9yLkMvqQ_16_5"/>
      <w:bookmarkStart w:id="224" w:name="Tc_vag4N6Wgekmb7BxBZyFrRQ_16_2"/>
      <w:bookmarkStart w:id="225" w:name="Tc_wUo3IxhIv0exemxUQGO4xw_16_0"/>
      <w:bookmarkStart w:id="226" w:name="Tc_536fajzl_0WX7EJ7LT2_NA_15_14"/>
      <w:bookmarkStart w:id="227" w:name="Tc_PI68Zu4RvkCzNfRDKz_9pA_15_8"/>
      <w:bookmarkStart w:id="228" w:name="Tc_ZRv0e-Z1O0yvtNRroGvA7Q_15_5"/>
      <w:bookmarkStart w:id="229" w:name="Tc_EA9-O8s_E0m-iL58kUM5Iw_15_2"/>
      <w:bookmarkStart w:id="230" w:name="Tc_otQIhT5D1UKnycwKLxj1Aw_15_0"/>
      <w:bookmarkStart w:id="231" w:name="Tc_oCYz9JTzH02tzN1US1L1_Q_14_14"/>
      <w:bookmarkStart w:id="232" w:name="Tc_kWq84X7NZ0eIXNQuoeKf-A_14_11"/>
      <w:bookmarkStart w:id="233" w:name="Tc_tQGeOw33hE-G3_ZmRVNEjA_14_5"/>
      <w:bookmarkStart w:id="234" w:name="Tc_UzzA_GwGNESZS3mVEWeVcQ_14_2"/>
      <w:bookmarkStart w:id="235" w:name="Tc_ySg6OPu8L0eZ7_itjy1PXA_14_0"/>
      <w:bookmarkStart w:id="236" w:name="Tc_DHcmoTpJfEWOUIdpsejpDQ_13_14"/>
      <w:bookmarkStart w:id="237" w:name="Tc_ql58D98-Uk2mkvgeK_SsCA_13_11"/>
      <w:bookmarkStart w:id="238" w:name="Tc_RBuImxr9sEedMQGQFrjvuA_13_8"/>
      <w:bookmarkStart w:id="239" w:name="Tc_5w9J2_HDUEqM1ROcJgLcJQ_13_0"/>
      <w:bookmarkStart w:id="240" w:name="Tc_rrnSAh8o5EWfnGrb8M0Rvg_12_17"/>
      <w:bookmarkStart w:id="241" w:name="Tc_KXu5uh8IF0iW-vjziMPHqQ_12_14"/>
      <w:bookmarkStart w:id="242" w:name="Tc_8ukYW41pDEWly5oz90gPBQ_12_11"/>
      <w:bookmarkStart w:id="243" w:name="Tc_vUo3CcttVEqOYtGg2LpEmA_12_8"/>
      <w:bookmarkStart w:id="244" w:name="Tc_uwl8ujBbkUWamdYkdE9pHQ_12_5"/>
      <w:bookmarkStart w:id="245" w:name="Tc_T5yn1waXj0y4dEmpTZ5a5g_12_0"/>
      <w:bookmarkStart w:id="246" w:name="Tc_iwDvMcR-YUawLUsThckA2Q_11_0"/>
      <w:bookmarkStart w:id="247" w:name="Tc_NV0iL4Hvw0m2XchRzVKX-g_10_11"/>
      <w:bookmarkStart w:id="248" w:name="Tc_zvN7-Fzbc0i1mBpYxQgi4w_10_8"/>
      <w:bookmarkStart w:id="249" w:name="Tc_3PhnJnMBUE2CxebHT8Ueng_10_5"/>
      <w:bookmarkStart w:id="250" w:name="Tc_pgT5_Q26WUmtUBJFeGVdNA_10_2"/>
      <w:bookmarkStart w:id="251" w:name="Tc_p6AKo8Wi0kWMUG7dcIJ-IQ_10_0"/>
      <w:bookmarkStart w:id="252" w:name="Tc_ItGrccEcMky2YJSTS-soPQ_9_14"/>
      <w:bookmarkStart w:id="253" w:name="Tc_p2-2yc1hl0So5-lwr_6t_A_9_8"/>
      <w:bookmarkStart w:id="254" w:name="Tc_YAapuRovTU-ZPB5TAzKcdw_9_5"/>
      <w:bookmarkStart w:id="255" w:name="Tc_JnTcjRyngE-SkYtD0Y24ew_9_2"/>
      <w:bookmarkStart w:id="256" w:name="Tc_glgUCenngE6PedmlPLLRAA_9_0"/>
      <w:bookmarkStart w:id="257" w:name="Tc_qA-VZ83-d0G3qdVnOP3Y7g_8_14"/>
      <w:bookmarkStart w:id="258" w:name="Tc_iw8Iyg_SpkSW-6luOd9PtQ_8_11"/>
      <w:bookmarkStart w:id="259" w:name="Tc_5ArAuzCnRECXh3IFICy_zw_8_5"/>
      <w:bookmarkStart w:id="260" w:name="Tc_bqDR8nEVHECEBZdWSmj2UQ_8_2"/>
      <w:bookmarkStart w:id="261" w:name="Tc_a4HV8XEonkWDpSws7E9eAA_8_0"/>
      <w:bookmarkStart w:id="262" w:name="Tc_KJ1TLOhut02YN-HPc6kLGw_7_14"/>
      <w:bookmarkStart w:id="263" w:name="Tc_DvEmLzWUC0G-Lh15hJLk8Q_7_11"/>
      <w:bookmarkStart w:id="264" w:name="Tc_FGHPLWXpxEWd_JPTYob5cw_7_8"/>
      <w:bookmarkStart w:id="265" w:name="Tc_2VeUuDrikECcmmwjRyPQhg_7_0"/>
      <w:bookmarkStart w:id="266" w:name="Tc_n4XFGN42KE6meF8zP7J5Uw_6_14"/>
      <w:bookmarkStart w:id="267" w:name="Tc_9xAHMm5yZUmpg5FBmLomsQ_6_11"/>
      <w:bookmarkStart w:id="268" w:name="Tc_CCkSiO--XkuG3scQe8bp9w_6_5"/>
      <w:bookmarkStart w:id="269" w:name="Tc_BOVaN20uzkG6J_7YGG1_1g_6_0"/>
      <w:bookmarkStart w:id="270" w:name="Tc_XwRdY9ExxkCDNBJ0f0VIEA_5_16"/>
      <w:bookmarkStart w:id="271" w:name="Tc_pSYYs4Bra0ODKxLCRiBgEA_5_13"/>
      <w:bookmarkStart w:id="272" w:name="Tc_vxjTp5ArKU6_QU2ryVBBDA_5_10"/>
      <w:bookmarkStart w:id="273" w:name="Tc_567DqYVqLUiDkogynRn-ng_5_7"/>
      <w:bookmarkStart w:id="274" w:name="Tc_-Yl6SXq5WkKJXDhZMAcg7w_5_4"/>
      <w:bookmarkStart w:id="275" w:name="Tc_YxGWGJfwjEuvk2IWn4MRjA_5_0"/>
      <w:bookmarkStart w:id="276" w:name="Tc_EnqzR7RLpE-x5wcm7XkFuA_4_16"/>
      <w:bookmarkStart w:id="277" w:name="Tc_LQ1Unn294EK1fuL8qimrvA_4_13"/>
      <w:bookmarkStart w:id="278" w:name="Tc_z7GTtR1fi0aghf6QBdLN_w_4_10"/>
      <w:bookmarkStart w:id="279" w:name="Tc_jUPr4k_Rf0qGQLcjlCwryA_4_7"/>
      <w:bookmarkStart w:id="280" w:name="Tc_FsGr7YfYMkiOr4SCpJMNBA_4_4"/>
      <w:bookmarkStart w:id="281" w:name="Tc_FTE9CEsWP0ysXdAxu30GbQ_4_2"/>
      <w:bookmarkStart w:id="282" w:name="Tc_oS--NiNTIUyWiitXc8cDvQ_3_16"/>
      <w:bookmarkStart w:id="283" w:name="Tc_BXrCqvdeak2mnbQc2Bo7Aw_3_13"/>
      <w:bookmarkStart w:id="284" w:name="Tc_8gPsHD7nN0eXwBAyxlNuvw_3_10"/>
      <w:bookmarkStart w:id="285" w:name="Tc_-3g3huFCwky3_4SX2nnZzA_3_7"/>
      <w:bookmarkStart w:id="286" w:name="Tc_86XFPDx_y0O0frG4Rszzwg_3_2"/>
      <w:bookmarkStart w:id="287" w:name="Tc_6EAo_Py3gUCnYKNLEcLWhw_2_16"/>
      <w:bookmarkStart w:id="288" w:name="Tc_gQ42mb1ZgEqD9GCrO-M54w_2_10"/>
      <w:bookmarkStart w:id="289" w:name="Tc_dlWAS66RzkuIiexoXb7vQA_2_7"/>
      <w:bookmarkStart w:id="290" w:name="Tc_AaTgtZpR-ka0glRefScWpQ_1_10"/>
      <w:bookmarkStart w:id="291" w:name="_427874ee_cdc3_4768_b473_e79340ea612d"/>
      <w:bookmarkStart w:id="292" w:name="Tc_QZMBq1npWU-nkcok4KdAYA_17_16"/>
      <w:bookmarkStart w:id="293" w:name="Tc_NLxi49irfk2q7UNX53V8zQ_17_13"/>
      <w:bookmarkStart w:id="294" w:name="Tc_SHJpykgNnESA22zmCgtodw_17_10"/>
      <w:bookmarkStart w:id="295" w:name="Tc_nqfKvPOc7EyvXXDu6tOu5A_17_7"/>
      <w:bookmarkStart w:id="296" w:name="Tc_ThQzED5mvE-yuvn1-F7RLQ_17_4"/>
      <w:bookmarkStart w:id="297" w:name="Tc_VIWLML-ZiEiYW184amD1HQ_17_0"/>
      <w:bookmarkStart w:id="298" w:name="Tc__XI0pi8zj0O_MGayQKxTNw_16_11"/>
      <w:bookmarkStart w:id="299" w:name="Tc_J3BAscP5pUiCm8nhKudaeA_16_8"/>
      <w:bookmarkStart w:id="300" w:name="Tc_wkq3QBZ8VEKNzj9yLkMvqQ_16_5"/>
      <w:bookmarkStart w:id="301" w:name="Tc_vag4N6Wgekmb7BxBZyFrRQ_16_2"/>
      <w:bookmarkStart w:id="302" w:name="Tc_wUo3IxhIv0exemxUQGO4xw_16_0"/>
      <w:bookmarkStart w:id="303" w:name="Tc_536fajzl_0WX7EJ7LT2_NA_15_14"/>
      <w:bookmarkStart w:id="304" w:name="Tc_PI68Zu4RvkCzNfRDKz_9pA_15_8"/>
      <w:bookmarkStart w:id="305" w:name="Tc_ZRv0e-Z1O0yvtNRroGvA7Q_15_5"/>
      <w:bookmarkStart w:id="306" w:name="Tc_EA9-O8s_E0m-iL58kUM5Iw_15_2"/>
      <w:bookmarkStart w:id="307" w:name="Tc_otQIhT5D1UKnycwKLxj1Aw_15_0"/>
      <w:bookmarkStart w:id="308" w:name="Tc_oCYz9JTzH02tzN1US1L1_Q_14_14"/>
      <w:bookmarkStart w:id="309" w:name="Tc_kWq84X7NZ0eIXNQuoeKf-A_14_11"/>
      <w:bookmarkStart w:id="310" w:name="Tc_tQGeOw33hE-G3_ZmRVNEjA_14_5"/>
      <w:bookmarkStart w:id="311" w:name="Tc_UzzA_GwGNESZS3mVEWeVcQ_14_2"/>
      <w:bookmarkStart w:id="312" w:name="Tc_ySg6OPu8L0eZ7_itjy1PXA_14_0"/>
      <w:bookmarkStart w:id="313" w:name="Tc_DHcmoTpJfEWOUIdpsejpDQ_13_14"/>
      <w:bookmarkStart w:id="314" w:name="Tc_ql58D98-Uk2mkvgeK_SsCA_13_11"/>
      <w:bookmarkStart w:id="315" w:name="Tc_RBuImxr9sEedMQGQFrjvuA_13_8"/>
      <w:bookmarkStart w:id="316" w:name="Tc_5w9J2_HDUEqM1ROcJgLcJQ_13_0"/>
      <w:bookmarkStart w:id="317" w:name="Tc_rrnSAh8o5EWfnGrb8M0Rvg_12_17"/>
      <w:bookmarkStart w:id="318" w:name="Tc_KXu5uh8IF0iW-vjziMPHqQ_12_14"/>
      <w:bookmarkStart w:id="319" w:name="Tc_8ukYW41pDEWly5oz90gPBQ_12_11"/>
      <w:bookmarkStart w:id="320" w:name="Tc_vUo3CcttVEqOYtGg2LpEmA_12_8"/>
      <w:bookmarkStart w:id="321" w:name="Tc_uwl8ujBbkUWamdYkdE9pHQ_12_5"/>
      <w:bookmarkStart w:id="322" w:name="Tc_T5yn1waXj0y4dEmpTZ5a5g_12_0"/>
      <w:bookmarkStart w:id="323" w:name="Tc_iwDvMcR-YUawLUsThckA2Q_11_0"/>
      <w:bookmarkStart w:id="324" w:name="Tc_NV0iL4Hvw0m2XchRzVKX-g_10_11"/>
      <w:bookmarkStart w:id="325" w:name="Tc_zvN7-Fzbc0i1mBpYxQgi4w_10_8"/>
      <w:bookmarkStart w:id="326" w:name="Tc_3PhnJnMBUE2CxebHT8Ueng_10_5"/>
      <w:bookmarkStart w:id="327" w:name="Tc_pgT5_Q26WUmtUBJFeGVdNA_10_2"/>
      <w:bookmarkStart w:id="328" w:name="Tc_p6AKo8Wi0kWMUG7dcIJ-IQ_10_0"/>
      <w:bookmarkStart w:id="329" w:name="Tc_ItGrccEcMky2YJSTS-soPQ_9_14"/>
      <w:bookmarkStart w:id="330" w:name="Tc_p2-2yc1hl0So5-lwr_6t_A_9_8"/>
      <w:bookmarkStart w:id="331" w:name="Tc_YAapuRovTU-ZPB5TAzKcdw_9_5"/>
      <w:bookmarkStart w:id="332" w:name="Tc_JnTcjRyngE-SkYtD0Y24ew_9_2"/>
      <w:bookmarkStart w:id="333" w:name="Tc_glgUCenngE6PedmlPLLRAA_9_0"/>
      <w:bookmarkStart w:id="334" w:name="Tc_qA-VZ83-d0G3qdVnOP3Y7g_8_14"/>
      <w:bookmarkStart w:id="335" w:name="Tc_iw8Iyg_SpkSW-6luOd9PtQ_8_11"/>
      <w:bookmarkStart w:id="336" w:name="Tc_5ArAuzCnRECXh3IFICy_zw_8_5"/>
      <w:bookmarkStart w:id="337" w:name="Tc_bqDR8nEVHECEBZdWSmj2UQ_8_2"/>
      <w:bookmarkStart w:id="338" w:name="Tc_a4HV8XEonkWDpSws7E9eAA_8_0"/>
      <w:bookmarkStart w:id="339" w:name="Tc_KJ1TLOhut02YN-HPc6kLGw_7_14"/>
      <w:bookmarkStart w:id="340" w:name="Tc_DvEmLzWUC0G-Lh15hJLk8Q_7_11"/>
      <w:bookmarkStart w:id="341" w:name="Tc_FGHPLWXpxEWd_JPTYob5cw_7_8"/>
      <w:bookmarkStart w:id="342" w:name="Tc_2VeUuDrikECcmmwjRyPQhg_7_0"/>
      <w:bookmarkStart w:id="343" w:name="Tc_n4XFGN42KE6meF8zP7J5Uw_6_14"/>
      <w:bookmarkStart w:id="344" w:name="Tc_9xAHMm5yZUmpg5FBmLomsQ_6_11"/>
      <w:bookmarkStart w:id="345" w:name="Tc_CCkSiO--XkuG3scQe8bp9w_6_5"/>
      <w:bookmarkStart w:id="346" w:name="Tc_BOVaN20uzkG6J_7YGG1_1g_6_0"/>
      <w:bookmarkStart w:id="347" w:name="Tc_XwRdY9ExxkCDNBJ0f0VIEA_5_16"/>
      <w:bookmarkStart w:id="348" w:name="Tc_pSYYs4Bra0ODKxLCRiBgEA_5_13"/>
      <w:bookmarkStart w:id="349" w:name="Tc_vxjTp5ArKU6_QU2ryVBBDA_5_10"/>
      <w:bookmarkStart w:id="350" w:name="Tc_567DqYVqLUiDkogynRn-ng_5_7"/>
      <w:bookmarkStart w:id="351" w:name="Tc_-Yl6SXq5WkKJXDhZMAcg7w_5_4"/>
      <w:bookmarkStart w:id="352" w:name="Tc_YxGWGJfwjEuvk2IWn4MRjA_5_0"/>
      <w:bookmarkStart w:id="353" w:name="Tc_EnqzR7RLpE-x5wcm7XkFuA_4_16"/>
      <w:bookmarkStart w:id="354" w:name="Tc_LQ1Unn294EK1fuL8qimrvA_4_13"/>
      <w:bookmarkStart w:id="355" w:name="Tc_z7GTtR1fi0aghf6QBdLN_w_4_10"/>
      <w:bookmarkStart w:id="356" w:name="Tc_jUPr4k_Rf0qGQLcjlCwryA_4_7"/>
      <w:bookmarkStart w:id="357" w:name="Tc_FsGr7YfYMkiOr4SCpJMNBA_4_4"/>
      <w:bookmarkStart w:id="358" w:name="Tc_FTE9CEsWP0ysXdAxu30GbQ_4_2"/>
      <w:bookmarkStart w:id="359" w:name="Tc_oS--NiNTIUyWiitXc8cDvQ_3_16"/>
      <w:bookmarkStart w:id="360" w:name="Tc_BXrCqvdeak2mnbQc2Bo7Aw_3_13"/>
      <w:bookmarkStart w:id="361" w:name="Tc_8gPsHD7nN0eXwBAyxlNuvw_3_10"/>
      <w:bookmarkStart w:id="362" w:name="Tc_-3g3huFCwky3_4SX2nnZzA_3_7"/>
      <w:bookmarkStart w:id="363" w:name="Tc_86XFPDx_y0O0frG4Rszzwg_3_2"/>
      <w:bookmarkStart w:id="364" w:name="Tc_6EAo_Py3gUCnYKNLEcLWhw_2_16"/>
      <w:bookmarkStart w:id="365" w:name="Tc_gQ42mb1ZgEqD9GCrO-M54w_2_10"/>
      <w:bookmarkStart w:id="366" w:name="Tc_dlWAS66RzkuIiexoXb7vQA_2_7"/>
      <w:bookmarkStart w:id="367" w:name="Tc_AaTgtZpR-ka0glRefScWpQ_1_10"/>
      <w:bookmarkStart w:id="368" w:name="_427874ee_cdc3_4768_b473_e79340ea612d"/>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tbl>
      <w:tblPr>
        <w:tblW w:w="10205" w:type="dxa"/>
        <w:jc w:val="left"/>
        <w:tblInd w:w="0" w:type="dxa"/>
        <w:tblLayout w:type="fixed"/>
        <w:tblCellMar>
          <w:top w:w="0" w:type="dxa"/>
          <w:left w:w="0" w:type="dxa"/>
          <w:bottom w:w="0" w:type="dxa"/>
          <w:right w:w="0" w:type="dxa"/>
        </w:tblCellMar>
      </w:tblPr>
      <w:tblGrid>
        <w:gridCol w:w="2761"/>
        <w:gridCol w:w="226"/>
        <w:gridCol w:w="916"/>
        <w:gridCol w:w="226"/>
        <w:gridCol w:w="236"/>
        <w:gridCol w:w="455"/>
        <w:gridCol w:w="226"/>
        <w:gridCol w:w="196"/>
        <w:gridCol w:w="826"/>
        <w:gridCol w:w="226"/>
        <w:gridCol w:w="310"/>
        <w:gridCol w:w="906"/>
        <w:gridCol w:w="226"/>
        <w:gridCol w:w="196"/>
        <w:gridCol w:w="918"/>
        <w:gridCol w:w="226"/>
        <w:gridCol w:w="223"/>
        <w:gridCol w:w="906"/>
      </w:tblGrid>
      <w:tr>
        <w:trPr/>
        <w:tc>
          <w:tcPr>
            <w:tcW w:w="276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43510" cy="175260"/>
                      <wp:effectExtent l="0" t="0" r="0" b="0"/>
                      <wp:wrapNone/>
                      <wp:docPr id="23" name="Frame2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581660" cy="175260"/>
                      <wp:effectExtent l="0" t="0" r="0" b="0"/>
                      <wp:wrapNone/>
                      <wp:docPr id="24" name="Frame24"/>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43510" cy="175260"/>
                      <wp:effectExtent l="0" t="0" r="0" b="0"/>
                      <wp:wrapNone/>
                      <wp:docPr id="25" name="Frame2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49860" cy="175260"/>
                      <wp:effectExtent l="0" t="0" r="0" b="0"/>
                      <wp:wrapNone/>
                      <wp:docPr id="26" name="Frame26"/>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88925" cy="175260"/>
                      <wp:effectExtent l="0" t="0" r="0" b="0"/>
                      <wp:wrapNone/>
                      <wp:docPr id="27" name="Frame27"/>
                      <a:graphic xmlns:a="http://schemas.openxmlformats.org/drawingml/2006/main">
                        <a:graphicData uri="http://schemas.microsoft.com/office/word/2010/wordprocessingShape">
                          <wps:wsp>
                            <wps:cNvSpPr txBox="1"/>
                            <wps:spPr>
                              <a:xfrm>
                                <a:off x="0" y="0"/>
                                <a:ext cx="288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43510" cy="175260"/>
                      <wp:effectExtent l="0" t="0" r="0" b="0"/>
                      <wp:wrapNone/>
                      <wp:docPr id="28" name="Frame2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24460" cy="175260"/>
                      <wp:effectExtent l="0" t="0" r="0" b="0"/>
                      <wp:wrapNone/>
                      <wp:docPr id="29" name="Frame2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524510" cy="175260"/>
                      <wp:effectExtent l="0" t="0" r="0" b="0"/>
                      <wp:wrapNone/>
                      <wp:docPr id="30" name="Frame3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43510" cy="175260"/>
                      <wp:effectExtent l="0" t="0" r="0" b="0"/>
                      <wp:wrapNone/>
                      <wp:docPr id="31" name="Frame3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96850" cy="175260"/>
                      <wp:effectExtent l="0" t="0" r="0" b="0"/>
                      <wp:wrapNone/>
                      <wp:docPr id="32" name="Frame32"/>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575310" cy="175260"/>
                      <wp:effectExtent l="0" t="0" r="0" b="0"/>
                      <wp:wrapNone/>
                      <wp:docPr id="33" name="Frame33"/>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43510" cy="175260"/>
                      <wp:effectExtent l="0" t="0" r="0" b="0"/>
                      <wp:wrapNone/>
                      <wp:docPr id="34" name="Frame3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24460" cy="175260"/>
                      <wp:effectExtent l="0" t="0" r="0" b="0"/>
                      <wp:wrapNone/>
                      <wp:docPr id="35" name="Frame3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582930" cy="175260"/>
                      <wp:effectExtent l="0" t="0" r="0" b="0"/>
                      <wp:wrapNone/>
                      <wp:docPr id="36" name="Frame36"/>
                      <a:graphic xmlns:a="http://schemas.openxmlformats.org/drawingml/2006/main">
                        <a:graphicData uri="http://schemas.microsoft.com/office/word/2010/wordprocessingShape">
                          <wps:wsp>
                            <wps:cNvSpPr txBox="1"/>
                            <wps:spPr>
                              <a:xfrm>
                                <a:off x="0" y="0"/>
                                <a:ext cx="582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43510" cy="175260"/>
                      <wp:effectExtent l="0" t="0" r="0" b="0"/>
                      <wp:wrapNone/>
                      <wp:docPr id="37" name="Frame3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41605" cy="175260"/>
                      <wp:effectExtent l="0" t="0" r="0" b="0"/>
                      <wp:wrapNone/>
                      <wp:docPr id="38" name="Frame38"/>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575310" cy="175260"/>
                      <wp:effectExtent l="0" t="0" r="0" b="0"/>
                      <wp:wrapNone/>
                      <wp:docPr id="39" name="Frame39"/>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6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455"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8"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left"/>
              <w:rPr/>
            </w:pPr>
            <w:r>
              <w:rPr/>
              <w:t>​</w:t>
            </w:r>
          </w:p>
        </w:tc>
      </w:tr>
      <w:tr>
        <w:trPr/>
        <w:tc>
          <w:tcPr>
            <w:tcW w:w="276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455"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left"/>
              <w:rPr/>
            </w:pPr>
            <w:r>
              <w:rPr/>
              <w:t>​</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2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8"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left"/>
              <w:rPr/>
            </w:pPr>
            <w:r>
              <w:rPr/>
              <w:t>​</w:t>
            </w:r>
          </w:p>
        </w:tc>
        <w:tc>
          <w:tcPr>
            <w:tcW w:w="112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76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83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Ordinary Shares</w:t>
            </w:r>
          </w:p>
        </w:tc>
        <w:tc>
          <w:tcPr>
            <w:tcW w:w="226" w:type="dxa"/>
            <w:tcBorders/>
            <w:vAlign w:val="center"/>
          </w:tcPr>
          <w:p>
            <w:pPr>
              <w:pStyle w:val="TableContents"/>
              <w:bidi w:val="0"/>
              <w:spacing w:before="0" w:after="1"/>
              <w:ind w:left="0" w:right="0" w:hanging="0"/>
              <w:jc w:val="left"/>
              <w:rPr/>
            </w:pPr>
            <w:r>
              <w:rPr/>
              <w:t>​</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Paid</w:t>
            </w:r>
            <w:r>
              <w:rPr>
                <w:rFonts w:ascii="Times New Roman;Times;serif" w:hAnsi="Times New Roman;Times;serif"/>
                <w:sz w:val="16"/>
              </w:rPr>
              <w:noBreakHyphen/>
            </w:r>
            <w:r>
              <w:rPr>
                <w:rFonts w:ascii="Times New Roman;Times;serif" w:hAnsi="Times New Roman;Times;serif"/>
                <w:b/>
                <w:sz w:val="16"/>
              </w:rPr>
              <w:t>in</w:t>
            </w:r>
          </w:p>
        </w:tc>
        <w:tc>
          <w:tcPr>
            <w:tcW w:w="2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226" w:type="dxa"/>
            <w:tcBorders/>
            <w:vAlign w:val="center"/>
          </w:tcPr>
          <w:p>
            <w:pPr>
              <w:pStyle w:val="TableContents"/>
              <w:bidi w:val="0"/>
              <w:spacing w:before="0" w:after="1"/>
              <w:ind w:left="0" w:right="0" w:hanging="0"/>
              <w:jc w:val="left"/>
              <w:rPr/>
            </w:pPr>
            <w:r>
              <w:rPr/>
              <w:t>​</w:t>
            </w:r>
          </w:p>
        </w:tc>
        <w:tc>
          <w:tcPr>
            <w:tcW w:w="111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26" w:type="dxa"/>
            <w:tcBorders/>
            <w:vAlign w:val="center"/>
          </w:tcPr>
          <w:p>
            <w:pPr>
              <w:pStyle w:val="TableContents"/>
              <w:bidi w:val="0"/>
              <w:spacing w:before="0" w:after="1"/>
              <w:ind w:left="0" w:right="0" w:hanging="0"/>
              <w:jc w:val="left"/>
              <w:rPr/>
            </w:pPr>
            <w:r>
              <w:rPr/>
              <w:t>​</w:t>
            </w:r>
          </w:p>
        </w:tc>
        <w:tc>
          <w:tcPr>
            <w:tcW w:w="112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Shareholders’</w:t>
            </w:r>
          </w:p>
        </w:tc>
      </w:tr>
      <w:tr>
        <w:trPr/>
        <w:tc>
          <w:tcPr>
            <w:tcW w:w="276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26" w:type="dxa"/>
            <w:tcBorders/>
            <w:vAlign w:val="center"/>
          </w:tcPr>
          <w:p>
            <w:pPr>
              <w:pStyle w:val="TableContents"/>
              <w:bidi w:val="0"/>
              <w:spacing w:before="0" w:after="1"/>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226" w:type="dxa"/>
            <w:tcBorders/>
            <w:vAlign w:val="center"/>
          </w:tcPr>
          <w:p>
            <w:pPr>
              <w:pStyle w:val="TableContents"/>
              <w:bidi w:val="0"/>
              <w:spacing w:before="0" w:after="1"/>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226" w:type="dxa"/>
            <w:tcBorders/>
            <w:vAlign w:val="center"/>
          </w:tcPr>
          <w:p>
            <w:pPr>
              <w:pStyle w:val="TableContents"/>
              <w:bidi w:val="0"/>
              <w:spacing w:before="0" w:after="1"/>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226" w:type="dxa"/>
            <w:tcBorders/>
            <w:vAlign w:val="center"/>
          </w:tcPr>
          <w:p>
            <w:pPr>
              <w:pStyle w:val="TableContents"/>
              <w:bidi w:val="0"/>
              <w:spacing w:before="0" w:after="1"/>
              <w:ind w:left="0" w:right="0" w:hanging="0"/>
              <w:jc w:val="left"/>
              <w:rPr/>
            </w:pPr>
            <w:r>
              <w:rPr/>
              <w:t>  ​</w:t>
            </w:r>
          </w:p>
        </w:tc>
        <w:tc>
          <w:tcPr>
            <w:tcW w:w="111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226" w:type="dxa"/>
            <w:tcBorders/>
            <w:vAlign w:val="center"/>
          </w:tcPr>
          <w:p>
            <w:pPr>
              <w:pStyle w:val="TableContents"/>
              <w:bidi w:val="0"/>
              <w:spacing w:before="0" w:after="1"/>
              <w:ind w:left="0" w:right="0" w:hanging="0"/>
              <w:jc w:val="left"/>
              <w:rPr/>
            </w:pPr>
            <w:r>
              <w:rPr/>
              <w:t>  ​</w:t>
            </w:r>
          </w:p>
        </w:tc>
        <w:tc>
          <w:tcPr>
            <w:tcW w:w="112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at December 31, 2025</w:t>
            </w:r>
          </w:p>
        </w:tc>
        <w:tc>
          <w:tcPr>
            <w:tcW w:w="226" w:type="dxa"/>
            <w:tcBorders/>
            <w:shd w:fill="CCEEFF" w:val="clear"/>
            <w:vAlign w:val="center"/>
          </w:tcPr>
          <w:p>
            <w:pPr>
              <w:pStyle w:val="TableContents"/>
              <w:bidi w:val="0"/>
              <w:spacing w:before="0" w:after="1"/>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69,367,896</w:t>
            </w:r>
          </w:p>
        </w:tc>
        <w:tc>
          <w:tcPr>
            <w:tcW w:w="226" w:type="dxa"/>
            <w:tcBorders/>
            <w:shd w:fill="CCEEFF" w:val="clear"/>
            <w:vAlign w:val="center"/>
          </w:tcPr>
          <w:p>
            <w:pPr>
              <w:pStyle w:val="TableContents"/>
              <w:bidi w:val="0"/>
              <w:spacing w:before="0" w:after="1"/>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5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894</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1,512,339</w:t>
            </w:r>
          </w:p>
        </w:tc>
        <w:tc>
          <w:tcPr>
            <w:tcW w:w="226" w:type="dxa"/>
            <w:tcBorders/>
            <w:shd w:fill="CCEEFF" w:val="clear"/>
            <w:vAlign w:val="center"/>
          </w:tcPr>
          <w:p>
            <w:pPr>
              <w:pStyle w:val="TableContents"/>
              <w:bidi w:val="0"/>
              <w:spacing w:before="0" w:after="1"/>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(3,505)</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(899,751)</w:t>
            </w:r>
          </w:p>
        </w:tc>
        <w:tc>
          <w:tcPr>
            <w:tcW w:w="226" w:type="dxa"/>
            <w:tcBorders/>
            <w:shd w:fill="CCEEFF" w:val="clear"/>
            <w:vAlign w:val="center"/>
          </w:tcPr>
          <w:p>
            <w:pPr>
              <w:pStyle w:val="TableContents"/>
              <w:bidi w:val="0"/>
              <w:spacing w:before="0" w:after="1"/>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609,977</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ADSs upon exercise of share options</w:t>
            </w:r>
          </w:p>
        </w:tc>
        <w:tc>
          <w:tcPr>
            <w:tcW w:w="2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3,861</w:t>
            </w:r>
          </w:p>
        </w:tc>
        <w:tc>
          <w:tcPr>
            <w:tcW w:w="2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455"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w:t>
            </w:r>
          </w:p>
        </w:tc>
        <w:tc>
          <w:tcPr>
            <w:tcW w:w="22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8"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Issuance of ADSs upon settlement of restricted share units </w:t>
            </w:r>
          </w:p>
        </w:tc>
        <w:tc>
          <w:tcPr>
            <w:tcW w:w="22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335,269</w:t>
            </w:r>
          </w:p>
        </w:tc>
        <w:tc>
          <w:tcPr>
            <w:tcW w:w="2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45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8"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Share-based compensation expense </w:t>
            </w:r>
          </w:p>
        </w:tc>
        <w:tc>
          <w:tcPr>
            <w:tcW w:w="2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455"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6,930</w:t>
            </w:r>
          </w:p>
        </w:tc>
        <w:tc>
          <w:tcPr>
            <w:tcW w:w="22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8"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6,930</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Foreign currency translation adjustment</w:t>
            </w:r>
          </w:p>
        </w:tc>
        <w:tc>
          <w:tcPr>
            <w:tcW w:w="22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455"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(1,774)</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8"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(1,774)</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Net loss </w:t>
            </w:r>
          </w:p>
        </w:tc>
        <w:tc>
          <w:tcPr>
            <w:tcW w:w="226" w:type="dxa"/>
            <w:tcBorders/>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(60,825)</w:t>
            </w:r>
          </w:p>
        </w:tc>
        <w:tc>
          <w:tcPr>
            <w:tcW w:w="226" w:type="dxa"/>
            <w:tcBorders/>
            <w:vAlign w:val="center"/>
          </w:tcPr>
          <w:p>
            <w:pPr>
              <w:pStyle w:val="TableContents"/>
              <w:bidi w:val="0"/>
              <w:spacing w:before="0" w:after="1"/>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(60,825)</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at March 31, 2026</w:t>
            </w:r>
          </w:p>
        </w:tc>
        <w:tc>
          <w:tcPr>
            <w:tcW w:w="226" w:type="dxa"/>
            <w:tcBorders/>
            <w:shd w:fill="CCEEFF" w:val="clear"/>
            <w:vAlign w:val="center"/>
          </w:tcPr>
          <w:p>
            <w:pPr>
              <w:pStyle w:val="TableContents"/>
              <w:bidi w:val="0"/>
              <w:spacing w:before="0" w:after="1"/>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69,707,026</w:t>
            </w:r>
          </w:p>
        </w:tc>
        <w:tc>
          <w:tcPr>
            <w:tcW w:w="226" w:type="dxa"/>
            <w:tcBorders/>
            <w:shd w:fill="CCEEFF" w:val="clear"/>
            <w:vAlign w:val="center"/>
          </w:tcPr>
          <w:p>
            <w:pPr>
              <w:pStyle w:val="TableContents"/>
              <w:bidi w:val="0"/>
              <w:spacing w:before="0" w:after="1"/>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5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899</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1,519,276</w:t>
            </w:r>
          </w:p>
        </w:tc>
        <w:tc>
          <w:tcPr>
            <w:tcW w:w="226" w:type="dxa"/>
            <w:tcBorders/>
            <w:shd w:fill="CCEEFF" w:val="clear"/>
            <w:vAlign w:val="center"/>
          </w:tcPr>
          <w:p>
            <w:pPr>
              <w:pStyle w:val="TableContents"/>
              <w:bidi w:val="0"/>
              <w:spacing w:before="0" w:after="1"/>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(5,279)</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(960,576)</w:t>
            </w:r>
          </w:p>
        </w:tc>
        <w:tc>
          <w:tcPr>
            <w:tcW w:w="226" w:type="dxa"/>
            <w:tcBorders/>
            <w:shd w:fill="CCEEFF" w:val="clear"/>
            <w:vAlign w:val="center"/>
          </w:tcPr>
          <w:p>
            <w:pPr>
              <w:pStyle w:val="TableContents"/>
              <w:bidi w:val="0"/>
              <w:spacing w:before="0" w:after="1"/>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554,320</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ADSs upon exercise of share options</w:t>
            </w:r>
          </w:p>
        </w:tc>
        <w:tc>
          <w:tcPr>
            <w:tcW w:w="2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2,920</w:t>
            </w:r>
          </w:p>
        </w:tc>
        <w:tc>
          <w:tcPr>
            <w:tcW w:w="2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455"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8"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pPr>
            <w:r>
              <w:rPr/>
              <w:t>—</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Issuance of ADSs upon settlement of restricted share units </w:t>
            </w:r>
          </w:p>
        </w:tc>
        <w:tc>
          <w:tcPr>
            <w:tcW w:w="22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104,199</w:t>
            </w:r>
          </w:p>
        </w:tc>
        <w:tc>
          <w:tcPr>
            <w:tcW w:w="2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45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8"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Share-based compensation expense </w:t>
            </w:r>
          </w:p>
        </w:tc>
        <w:tc>
          <w:tcPr>
            <w:tcW w:w="2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455"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6,404</w:t>
            </w:r>
          </w:p>
        </w:tc>
        <w:tc>
          <w:tcPr>
            <w:tcW w:w="22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8"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6,404</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Foreign currency translation adjustment</w:t>
            </w:r>
          </w:p>
        </w:tc>
        <w:tc>
          <w:tcPr>
            <w:tcW w:w="22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455"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(137)</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8"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(137)</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Net loss </w:t>
            </w:r>
          </w:p>
        </w:tc>
        <w:tc>
          <w:tcPr>
            <w:tcW w:w="226" w:type="dxa"/>
            <w:tcBorders/>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(50,333)</w:t>
            </w:r>
          </w:p>
        </w:tc>
        <w:tc>
          <w:tcPr>
            <w:tcW w:w="226" w:type="dxa"/>
            <w:tcBorders/>
            <w:vAlign w:val="center"/>
          </w:tcPr>
          <w:p>
            <w:pPr>
              <w:pStyle w:val="TableContents"/>
              <w:bidi w:val="0"/>
              <w:spacing w:before="0" w:after="1"/>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(50,333)</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at June 30, 2026</w:t>
            </w:r>
          </w:p>
        </w:tc>
        <w:tc>
          <w:tcPr>
            <w:tcW w:w="226" w:type="dxa"/>
            <w:tcBorders/>
            <w:shd w:fill="CCEEFF" w:val="clear"/>
            <w:vAlign w:val="center"/>
          </w:tcPr>
          <w:p>
            <w:pPr>
              <w:pStyle w:val="TableContents"/>
              <w:bidi w:val="0"/>
              <w:spacing w:before="0" w:after="1"/>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69,814,145</w:t>
            </w:r>
          </w:p>
        </w:tc>
        <w:tc>
          <w:tcPr>
            <w:tcW w:w="226" w:type="dxa"/>
            <w:tcBorders/>
            <w:shd w:fill="CCEEFF" w:val="clear"/>
            <w:vAlign w:val="center"/>
          </w:tcPr>
          <w:p>
            <w:pPr>
              <w:pStyle w:val="TableContents"/>
              <w:bidi w:val="0"/>
              <w:spacing w:before="0" w:after="1"/>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5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900</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1,525,680</w:t>
            </w:r>
          </w:p>
        </w:tc>
        <w:tc>
          <w:tcPr>
            <w:tcW w:w="226" w:type="dxa"/>
            <w:tcBorders/>
            <w:shd w:fill="CCEEFF" w:val="clear"/>
            <w:vAlign w:val="center"/>
          </w:tcPr>
          <w:p>
            <w:pPr>
              <w:pStyle w:val="TableContents"/>
              <w:bidi w:val="0"/>
              <w:spacing w:before="0" w:after="1"/>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(5,416)</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(1,010,909)</w:t>
            </w:r>
          </w:p>
        </w:tc>
        <w:tc>
          <w:tcPr>
            <w:tcW w:w="226" w:type="dxa"/>
            <w:tcBorders/>
            <w:shd w:fill="CCEEFF" w:val="clear"/>
            <w:vAlign w:val="center"/>
          </w:tcPr>
          <w:p>
            <w:pPr>
              <w:pStyle w:val="TableContents"/>
              <w:bidi w:val="0"/>
              <w:spacing w:before="0" w:after="1"/>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bottom w:val="single" w:sz="2" w:space="0" w:color="000000"/>
            </w:tcBorders>
            <w:shd w:fill="CCEEFF" w:val="clear"/>
            <w:tcMar>
              <w:bottom w:w="28" w:type="dxa"/>
            </w:tcMar>
            <w:vAlign w:val="center"/>
          </w:tcPr>
          <w:p>
            <w:pPr>
              <w:pStyle w:val="TableContents"/>
              <w:bidi w:val="0"/>
              <w:spacing w:before="0" w:after="1"/>
              <w:ind w:left="0" w:right="50" w:hanging="0"/>
              <w:jc w:val="right"/>
              <w:rPr>
                <w:rFonts w:ascii="Times New Roman;Times;serif" w:hAnsi="Times New Roman;Times;serif"/>
                <w:sz w:val="16"/>
              </w:rPr>
            </w:pPr>
            <w:r>
              <w:rPr>
                <w:rFonts w:ascii="Times New Roman;Times;serif" w:hAnsi="Times New Roman;Times;serif"/>
                <w:sz w:val="16"/>
              </w:rPr>
              <w:t>510,255</w:t>
            </w:r>
          </w:p>
        </w:tc>
      </w:tr>
    </w:tbl>
    <w:p>
      <w:pPr>
        <w:pStyle w:val="TextBody"/>
        <w:bidi w:val="0"/>
        <w:spacing w:before="0" w:after="240"/>
        <w:ind w:left="0" w:right="0" w:hanging="0"/>
        <w:jc w:val="left"/>
        <w:rPr/>
      </w:pPr>
      <w:r>
        <w:rPr/>
        <w:t>​</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69" w:name="Tc_UqFgmOhc9kG7qoh_f2x3hw_15_16"/>
      <w:bookmarkStart w:id="370" w:name="Tc_sfzPUHphm0CU1iiu8djwqA_15_13"/>
      <w:bookmarkStart w:id="371" w:name="Tc_RDyzGosknkmkWbu7bANIdA_15_10"/>
      <w:bookmarkStart w:id="372" w:name="Tc_6n2UpnWhrEOU0PGnm-8ZnA_15_7"/>
      <w:bookmarkStart w:id="373" w:name="Tc_PLtZF0OQ9EykBUUwVw7CCQ_15_4"/>
      <w:bookmarkStart w:id="374" w:name="Tc_v8tZswm5IUionJC14GNvWQ_15_0"/>
      <w:bookmarkStart w:id="375" w:name="Tc_4TAT_JprxE2JZyPgZspYHQ_14_11"/>
      <w:bookmarkStart w:id="376" w:name="Tc__lF56YKbGEin9QFuIQHJxA_14_8"/>
      <w:bookmarkStart w:id="377" w:name="Tc__EAtOvhaY0m59v_5LnXVbg_14_5"/>
      <w:bookmarkStart w:id="378" w:name="Tc_pzOA6vxRa0KEOjRrTM_ixA_14_2"/>
      <w:bookmarkStart w:id="379" w:name="Tc_achwHO7N7UC5Ers8gHbkbA_14_0"/>
      <w:bookmarkStart w:id="380" w:name="Tc_I_ziRNAuLkSIc8oeiOK8Dg_13_14"/>
      <w:bookmarkStart w:id="381" w:name="Tc_9HbZRN1CxU2UtiUH-vxaxA_13_8"/>
      <w:bookmarkStart w:id="382" w:name="Tc_dqRvfVWAvUGhdIJOZGBP8w_13_5"/>
      <w:bookmarkStart w:id="383" w:name="Tc_VfQCkfazlkKQp1I_9T4SoA_13_2"/>
      <w:bookmarkStart w:id="384" w:name="Tc_mkp0TbLQlEqxHzyLZP91zw_13_0"/>
      <w:bookmarkStart w:id="385" w:name="Tc_5gRvXA1vZEq5OfDgM2_5UQ_12_14"/>
      <w:bookmarkStart w:id="386" w:name="Tc_ksdCeUAsF0ONSDSofWVl2g_12_11"/>
      <w:bookmarkStart w:id="387" w:name="Tc_m3CFd1NiH0iNX_-FvwrRHw_12_5"/>
      <w:bookmarkStart w:id="388" w:name="Tc_CTRHEJiPaE68SPIeAIyG_A_12_2"/>
      <w:bookmarkStart w:id="389" w:name="Tc_AtzVi06ZSkq6T4OF451kTQ_12_0"/>
      <w:bookmarkStart w:id="390" w:name="Tc_pc8lH18hWkqwA5SXr0qmYw_11_14"/>
      <w:bookmarkStart w:id="391" w:name="Tc_SxTbVJuCgEi-lrPGC5n6qA_11_11"/>
      <w:bookmarkStart w:id="392" w:name="Tc_HD8G71kIbkWB38KXJakzhA_11_8"/>
      <w:bookmarkStart w:id="393" w:name="Tc_xidQMIMEVk-vX1ELYMBq2w_11_0"/>
      <w:bookmarkStart w:id="394" w:name="Tc_q4TRMhvFoUeyp8PyeLWSwg_10_0"/>
      <w:bookmarkStart w:id="395" w:name="Tc_lpSUY-l3pkWU2rS6DMnPXw_9_11"/>
      <w:bookmarkStart w:id="396" w:name="Tc_O4-SL0lWgkuTpcqfchV0SA_9_8"/>
      <w:bookmarkStart w:id="397" w:name="Tc_9DOuGIyJiUu4eW5oezEEfg_9_5"/>
      <w:bookmarkStart w:id="398" w:name="Tc_EPMmlqSxfEKtFzHkpvmJPg_9_2"/>
      <w:bookmarkStart w:id="399" w:name="Tc_sQsexEhOzE2O2-nDMs80Tw_9_0"/>
      <w:bookmarkStart w:id="400" w:name="Tc_UWia4fRdFE2TCoiPg69Bsg_8_14"/>
      <w:bookmarkStart w:id="401" w:name="Tc_ENpiL-KVAEuQR9snZQIdmQ_8_8"/>
      <w:bookmarkStart w:id="402" w:name="Tc_YFjkrBQ1qkOtBq9ROkdIPw_8_5"/>
      <w:bookmarkStart w:id="403" w:name="Tc_qflBP_hKJkmL5X1LzN15tQ_8_2"/>
      <w:bookmarkStart w:id="404" w:name="Tc_mKOH9v3sFkaLv_swThY06g_8_0"/>
      <w:bookmarkStart w:id="405" w:name="Tc_olkCcJhDBkWUJrjTOnL0KQ_7_14"/>
      <w:bookmarkStart w:id="406" w:name="Tc_bzaB2F6S4EW7DxIQoiwvew_7_11"/>
      <w:bookmarkStart w:id="407" w:name="Tc_N7VqFFuA1ESVMY5CdDRFog_7_5"/>
      <w:bookmarkStart w:id="408" w:name="Tc_Yci5GwMHoUG8NR7sSGMYug_7_2"/>
      <w:bookmarkStart w:id="409" w:name="Tc_NpulpIcADUGemm7GpoOcQw_7_0"/>
      <w:bookmarkStart w:id="410" w:name="Tc_mJG6eye7bUaZrOsPcODKjQ_6_14"/>
      <w:bookmarkStart w:id="411" w:name="Tc_s1IwXHC84E-XzfqvMX-awQ_6_11"/>
      <w:bookmarkStart w:id="412" w:name="Tc_5_EulAN-Xk-2y2et7zcezw_6_8"/>
      <w:bookmarkStart w:id="413" w:name="Tc_CTeGiz24bEuXg26dMhWR_g_6_0"/>
      <w:bookmarkStart w:id="414" w:name="Tc_QpJ3YU1eqES7TLQhMZTViw_5_16"/>
      <w:bookmarkStart w:id="415" w:name="Tc_nsSJy3jf8kCDUL2Ri9txYA_5_13"/>
      <w:bookmarkStart w:id="416" w:name="Tc_MC_Pma-wwEeraxMVQr9ueA_5_10"/>
      <w:bookmarkStart w:id="417" w:name="Tc_dedH3Rte8k-ZAgPPDVRoTA_5_7"/>
      <w:bookmarkStart w:id="418" w:name="Tc_E9vYhEPO_kmGRQoVstlxMA_5_4"/>
      <w:bookmarkStart w:id="419" w:name="Tc_FFIaXI62n0GAwSE67NYv_Q_5_0"/>
      <w:bookmarkStart w:id="420" w:name="Tc_s3pe-R5t20mA7kxVLbmxfQ_4_16"/>
      <w:bookmarkStart w:id="421" w:name="Tc_WzQhTpPIFEGaQVNB8Qo5hw_4_13"/>
      <w:bookmarkStart w:id="422" w:name="Tc_1WinnzLNP0u87qW2-iLzTA_4_10"/>
      <w:bookmarkStart w:id="423" w:name="Tc_NeeMqDxGr0ao_CbrYyw1iQ_4_7"/>
      <w:bookmarkStart w:id="424" w:name="Tc_a2drMTv5DUWZEN12SElZAA_4_4"/>
      <w:bookmarkStart w:id="425" w:name="Tc_Upbwt1hK_UWqSp5H2wnuPQ_4_2"/>
      <w:bookmarkStart w:id="426" w:name="Tc_EL8rR1qLhkecsmZ82vjeZQ_3_16"/>
      <w:bookmarkStart w:id="427" w:name="Tc_YMc-9ReMcUKGugnKuOFj6g_3_13"/>
      <w:bookmarkStart w:id="428" w:name="Tc_L-ZOXxKIKEKjPFrFsKxajA_3_10"/>
      <w:bookmarkStart w:id="429" w:name="Tc_o7bOPHrokEyvz7egcLNCRg_3_7"/>
      <w:bookmarkStart w:id="430" w:name="Tc_irOVq8KomUCSLG2PV-aiAA_3_2"/>
      <w:bookmarkStart w:id="431" w:name="Tc_N_7WtFTViEWeLpG1s2rWxw_2_16"/>
      <w:bookmarkStart w:id="432" w:name="Tc_O9AvIUE7rEeNsKa4LnNKOQ_2_10"/>
      <w:bookmarkStart w:id="433" w:name="Tc_UjirDBpzuEuNrBCshdvPSw_2_7"/>
      <w:bookmarkStart w:id="434" w:name="Tc_CO6GX_R-O0WtxaOMqWpbqA_1_10"/>
      <w:bookmarkStart w:id="435" w:name="_b1751ef1_08b9_4a4a_ae9f_1b7f23fa6b41"/>
      <w:bookmarkStart w:id="436" w:name="Tc_UqFgmOhc9kG7qoh_f2x3hw_15_16"/>
      <w:bookmarkStart w:id="437" w:name="Tc_sfzPUHphm0CU1iiu8djwqA_15_13"/>
      <w:bookmarkStart w:id="438" w:name="Tc_RDyzGosknkmkWbu7bANIdA_15_10"/>
      <w:bookmarkStart w:id="439" w:name="Tc_6n2UpnWhrEOU0PGnm-8ZnA_15_7"/>
      <w:bookmarkStart w:id="440" w:name="Tc_PLtZF0OQ9EykBUUwVw7CCQ_15_4"/>
      <w:bookmarkStart w:id="441" w:name="Tc_v8tZswm5IUionJC14GNvWQ_15_0"/>
      <w:bookmarkStart w:id="442" w:name="Tc_4TAT_JprxE2JZyPgZspYHQ_14_11"/>
      <w:bookmarkStart w:id="443" w:name="Tc__lF56YKbGEin9QFuIQHJxA_14_8"/>
      <w:bookmarkStart w:id="444" w:name="Tc__EAtOvhaY0m59v_5LnXVbg_14_5"/>
      <w:bookmarkStart w:id="445" w:name="Tc_pzOA6vxRa0KEOjRrTM_ixA_14_2"/>
      <w:bookmarkStart w:id="446" w:name="Tc_achwHO7N7UC5Ers8gHbkbA_14_0"/>
      <w:bookmarkStart w:id="447" w:name="Tc_I_ziRNAuLkSIc8oeiOK8Dg_13_14"/>
      <w:bookmarkStart w:id="448" w:name="Tc_9HbZRN1CxU2UtiUH-vxaxA_13_8"/>
      <w:bookmarkStart w:id="449" w:name="Tc_dqRvfVWAvUGhdIJOZGBP8w_13_5"/>
      <w:bookmarkStart w:id="450" w:name="Tc_VfQCkfazlkKQp1I_9T4SoA_13_2"/>
      <w:bookmarkStart w:id="451" w:name="Tc_mkp0TbLQlEqxHzyLZP91zw_13_0"/>
      <w:bookmarkStart w:id="452" w:name="Tc_5gRvXA1vZEq5OfDgM2_5UQ_12_14"/>
      <w:bookmarkStart w:id="453" w:name="Tc_ksdCeUAsF0ONSDSofWVl2g_12_11"/>
      <w:bookmarkStart w:id="454" w:name="Tc_m3CFd1NiH0iNX_-FvwrRHw_12_5"/>
      <w:bookmarkStart w:id="455" w:name="Tc_CTRHEJiPaE68SPIeAIyG_A_12_2"/>
      <w:bookmarkStart w:id="456" w:name="Tc_AtzVi06ZSkq6T4OF451kTQ_12_0"/>
      <w:bookmarkStart w:id="457" w:name="Tc_pc8lH18hWkqwA5SXr0qmYw_11_14"/>
      <w:bookmarkStart w:id="458" w:name="Tc_SxTbVJuCgEi-lrPGC5n6qA_11_11"/>
      <w:bookmarkStart w:id="459" w:name="Tc_HD8G71kIbkWB38KXJakzhA_11_8"/>
      <w:bookmarkStart w:id="460" w:name="Tc_xidQMIMEVk-vX1ELYMBq2w_11_0"/>
      <w:bookmarkStart w:id="461" w:name="Tc_q4TRMhvFoUeyp8PyeLWSwg_10_0"/>
      <w:bookmarkStart w:id="462" w:name="Tc_lpSUY-l3pkWU2rS6DMnPXw_9_11"/>
      <w:bookmarkStart w:id="463" w:name="Tc_O4-SL0lWgkuTpcqfchV0SA_9_8"/>
      <w:bookmarkStart w:id="464" w:name="Tc_9DOuGIyJiUu4eW5oezEEfg_9_5"/>
      <w:bookmarkStart w:id="465" w:name="Tc_EPMmlqSxfEKtFzHkpvmJPg_9_2"/>
      <w:bookmarkStart w:id="466" w:name="Tc_sQsexEhOzE2O2-nDMs80Tw_9_0"/>
      <w:bookmarkStart w:id="467" w:name="Tc_UWia4fRdFE2TCoiPg69Bsg_8_14"/>
      <w:bookmarkStart w:id="468" w:name="Tc_ENpiL-KVAEuQR9snZQIdmQ_8_8"/>
      <w:bookmarkStart w:id="469" w:name="Tc_YFjkrBQ1qkOtBq9ROkdIPw_8_5"/>
      <w:bookmarkStart w:id="470" w:name="Tc_qflBP_hKJkmL5X1LzN15tQ_8_2"/>
      <w:bookmarkStart w:id="471" w:name="Tc_mKOH9v3sFkaLv_swThY06g_8_0"/>
      <w:bookmarkStart w:id="472" w:name="Tc_olkCcJhDBkWUJrjTOnL0KQ_7_14"/>
      <w:bookmarkStart w:id="473" w:name="Tc_bzaB2F6S4EW7DxIQoiwvew_7_11"/>
      <w:bookmarkStart w:id="474" w:name="Tc_N7VqFFuA1ESVMY5CdDRFog_7_5"/>
      <w:bookmarkStart w:id="475" w:name="Tc_Yci5GwMHoUG8NR7sSGMYug_7_2"/>
      <w:bookmarkStart w:id="476" w:name="Tc_NpulpIcADUGemm7GpoOcQw_7_0"/>
      <w:bookmarkStart w:id="477" w:name="Tc_mJG6eye7bUaZrOsPcODKjQ_6_14"/>
      <w:bookmarkStart w:id="478" w:name="Tc_s1IwXHC84E-XzfqvMX-awQ_6_11"/>
      <w:bookmarkStart w:id="479" w:name="Tc_5_EulAN-Xk-2y2et7zcezw_6_8"/>
      <w:bookmarkStart w:id="480" w:name="Tc_CTeGiz24bEuXg26dMhWR_g_6_0"/>
      <w:bookmarkStart w:id="481" w:name="Tc_QpJ3YU1eqES7TLQhMZTViw_5_16"/>
      <w:bookmarkStart w:id="482" w:name="Tc_nsSJy3jf8kCDUL2Ri9txYA_5_13"/>
      <w:bookmarkStart w:id="483" w:name="Tc_MC_Pma-wwEeraxMVQr9ueA_5_10"/>
      <w:bookmarkStart w:id="484" w:name="Tc_dedH3Rte8k-ZAgPPDVRoTA_5_7"/>
      <w:bookmarkStart w:id="485" w:name="Tc_E9vYhEPO_kmGRQoVstlxMA_5_4"/>
      <w:bookmarkStart w:id="486" w:name="Tc_FFIaXI62n0GAwSE67NYv_Q_5_0"/>
      <w:bookmarkStart w:id="487" w:name="Tc_s3pe-R5t20mA7kxVLbmxfQ_4_16"/>
      <w:bookmarkStart w:id="488" w:name="Tc_WzQhTpPIFEGaQVNB8Qo5hw_4_13"/>
      <w:bookmarkStart w:id="489" w:name="Tc_1WinnzLNP0u87qW2-iLzTA_4_10"/>
      <w:bookmarkStart w:id="490" w:name="Tc_NeeMqDxGr0ao_CbrYyw1iQ_4_7"/>
      <w:bookmarkStart w:id="491" w:name="Tc_a2drMTv5DUWZEN12SElZAA_4_4"/>
      <w:bookmarkStart w:id="492" w:name="Tc_Upbwt1hK_UWqSp5H2wnuPQ_4_2"/>
      <w:bookmarkStart w:id="493" w:name="Tc_EL8rR1qLhkecsmZ82vjeZQ_3_16"/>
      <w:bookmarkStart w:id="494" w:name="Tc_YMc-9ReMcUKGugnKuOFj6g_3_13"/>
      <w:bookmarkStart w:id="495" w:name="Tc_L-ZOXxKIKEKjPFrFsKxajA_3_10"/>
      <w:bookmarkStart w:id="496" w:name="Tc_o7bOPHrokEyvz7egcLNCRg_3_7"/>
      <w:bookmarkStart w:id="497" w:name="Tc_irOVq8KomUCSLG2PV-aiAA_3_2"/>
      <w:bookmarkStart w:id="498" w:name="Tc_N_7WtFTViEWeLpG1s2rWxw_2_16"/>
      <w:bookmarkStart w:id="499" w:name="Tc_O9AvIUE7rEeNsKa4LnNKOQ_2_10"/>
      <w:bookmarkStart w:id="500" w:name="Tc_UjirDBpzuEuNrBCshdvPSw_2_7"/>
      <w:bookmarkStart w:id="501" w:name="Tc_CO6GX_R-O0WtxaOMqWpbqA_1_10"/>
      <w:bookmarkStart w:id="502" w:name="_b1751ef1_08b9_4a4a_ae9f_1b7f23fa6b41"/>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p>
    <w:tbl>
      <w:tblPr>
        <w:tblW w:w="10205" w:type="dxa"/>
        <w:jc w:val="left"/>
        <w:tblInd w:w="0" w:type="dxa"/>
        <w:tblLayout w:type="fixed"/>
        <w:tblCellMar>
          <w:top w:w="0" w:type="dxa"/>
          <w:left w:w="0" w:type="dxa"/>
          <w:bottom w:w="0" w:type="dxa"/>
          <w:right w:w="0" w:type="dxa"/>
        </w:tblCellMar>
      </w:tblPr>
      <w:tblGrid>
        <w:gridCol w:w="2705"/>
        <w:gridCol w:w="346"/>
        <w:gridCol w:w="916"/>
        <w:gridCol w:w="226"/>
        <w:gridCol w:w="236"/>
        <w:gridCol w:w="455"/>
        <w:gridCol w:w="226"/>
        <w:gridCol w:w="196"/>
        <w:gridCol w:w="826"/>
        <w:gridCol w:w="226"/>
        <w:gridCol w:w="310"/>
        <w:gridCol w:w="906"/>
        <w:gridCol w:w="226"/>
        <w:gridCol w:w="217"/>
        <w:gridCol w:w="834"/>
        <w:gridCol w:w="226"/>
        <w:gridCol w:w="221"/>
        <w:gridCol w:w="907"/>
      </w:tblGrid>
      <w:tr>
        <w:trPr/>
        <w:tc>
          <w:tcPr>
            <w:tcW w:w="270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19710" cy="175260"/>
                      <wp:effectExtent l="0" t="0" r="0" b="0"/>
                      <wp:wrapNone/>
                      <wp:docPr id="40"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581660" cy="175260"/>
                      <wp:effectExtent l="0" t="0" r="0" b="0"/>
                      <wp:wrapNone/>
                      <wp:docPr id="41" name="Frame41"/>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43510" cy="175260"/>
                      <wp:effectExtent l="0" t="0" r="0" b="0"/>
                      <wp:wrapNone/>
                      <wp:docPr id="42" name="Frame4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49860" cy="175260"/>
                      <wp:effectExtent l="0" t="0" r="0" b="0"/>
                      <wp:wrapNone/>
                      <wp:docPr id="43" name="Frame43"/>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88925" cy="175260"/>
                      <wp:effectExtent l="0" t="0" r="0" b="0"/>
                      <wp:wrapNone/>
                      <wp:docPr id="44" name="Frame44"/>
                      <a:graphic xmlns:a="http://schemas.openxmlformats.org/drawingml/2006/main">
                        <a:graphicData uri="http://schemas.microsoft.com/office/word/2010/wordprocessingShape">
                          <wps:wsp>
                            <wps:cNvSpPr txBox="1"/>
                            <wps:spPr>
                              <a:xfrm>
                                <a:off x="0" y="0"/>
                                <a:ext cx="288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43510" cy="175260"/>
                      <wp:effectExtent l="0" t="0" r="0" b="0"/>
                      <wp:wrapNone/>
                      <wp:docPr id="45" name="Frame4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24460" cy="175260"/>
                      <wp:effectExtent l="0" t="0" r="0" b="0"/>
                      <wp:wrapNone/>
                      <wp:docPr id="46" name="Frame4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524510" cy="175260"/>
                      <wp:effectExtent l="0" t="0" r="0" b="0"/>
                      <wp:wrapNone/>
                      <wp:docPr id="47" name="Frame4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43510" cy="175260"/>
                      <wp:effectExtent l="0" t="0" r="0" b="0"/>
                      <wp:wrapNone/>
                      <wp:docPr id="48" name="Frame4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96850" cy="175260"/>
                      <wp:effectExtent l="0" t="0" r="0" b="0"/>
                      <wp:wrapNone/>
                      <wp:docPr id="49" name="Frame49"/>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575310" cy="175260"/>
                      <wp:effectExtent l="0" t="0" r="0" b="0"/>
                      <wp:wrapNone/>
                      <wp:docPr id="50" name="Frame50"/>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43510" cy="175260"/>
                      <wp:effectExtent l="0" t="0" r="0" b="0"/>
                      <wp:wrapNone/>
                      <wp:docPr id="51" name="Frame5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37795" cy="175260"/>
                      <wp:effectExtent l="0" t="0" r="0" b="0"/>
                      <wp:wrapNone/>
                      <wp:docPr id="52" name="Frame52"/>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529590" cy="175260"/>
                      <wp:effectExtent l="0" t="0" r="0" b="0"/>
                      <wp:wrapNone/>
                      <wp:docPr id="53" name="Frame53"/>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43510" cy="175260"/>
                      <wp:effectExtent l="0" t="0" r="0" b="0"/>
                      <wp:wrapNone/>
                      <wp:docPr id="54" name="Frame5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40335" cy="175260"/>
                      <wp:effectExtent l="0" t="0" r="0" b="0"/>
                      <wp:wrapNone/>
                      <wp:docPr id="55" name="Frame55"/>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575945" cy="175260"/>
                      <wp:effectExtent l="0" t="0" r="0" b="0"/>
                      <wp:wrapNone/>
                      <wp:docPr id="56" name="Frame56"/>
                      <a:graphic xmlns:a="http://schemas.openxmlformats.org/drawingml/2006/main">
                        <a:graphicData uri="http://schemas.microsoft.com/office/word/2010/wordprocessingShape">
                          <wps:wsp>
                            <wps:cNvSpPr txBox="1"/>
                            <wps:spPr>
                              <a:xfrm>
                                <a:off x="0" y="0"/>
                                <a:ext cx="575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0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455"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907" w:type="dxa"/>
            <w:tcBorders/>
            <w:vAlign w:val="center"/>
          </w:tcPr>
          <w:p>
            <w:pPr>
              <w:pStyle w:val="TableContents"/>
              <w:bidi w:val="0"/>
              <w:spacing w:before="0" w:after="1"/>
              <w:ind w:left="0" w:right="0" w:hanging="0"/>
              <w:jc w:val="left"/>
              <w:rPr/>
            </w:pPr>
            <w:r>
              <w:rPr/>
              <w:t>​</w:t>
            </w:r>
          </w:p>
        </w:tc>
      </w:tr>
      <w:tr>
        <w:trPr/>
        <w:tc>
          <w:tcPr>
            <w:tcW w:w="270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455"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left"/>
              <w:rPr/>
            </w:pPr>
            <w:r>
              <w:rPr/>
              <w:t>​</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2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2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left"/>
              <w:rPr/>
            </w:pPr>
            <w:r>
              <w:rPr/>
              <w:t>​</w:t>
            </w:r>
          </w:p>
        </w:tc>
        <w:tc>
          <w:tcPr>
            <w:tcW w:w="112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70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3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Ordinary Shares</w:t>
            </w:r>
          </w:p>
        </w:tc>
        <w:tc>
          <w:tcPr>
            <w:tcW w:w="226" w:type="dxa"/>
            <w:tcBorders/>
            <w:vAlign w:val="center"/>
          </w:tcPr>
          <w:p>
            <w:pPr>
              <w:pStyle w:val="TableContents"/>
              <w:bidi w:val="0"/>
              <w:spacing w:before="0" w:after="1"/>
              <w:ind w:left="0" w:right="0" w:hanging="0"/>
              <w:jc w:val="left"/>
              <w:rPr/>
            </w:pPr>
            <w:r>
              <w:rPr/>
              <w:t>​</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Paid</w:t>
            </w:r>
            <w:r>
              <w:rPr>
                <w:rFonts w:ascii="Times New Roman;Times;serif" w:hAnsi="Times New Roman;Times;serif"/>
                <w:sz w:val="16"/>
              </w:rPr>
              <w:noBreakHyphen/>
            </w:r>
            <w:r>
              <w:rPr>
                <w:rFonts w:ascii="Times New Roman;Times;serif" w:hAnsi="Times New Roman;Times;serif"/>
                <w:b/>
                <w:sz w:val="16"/>
              </w:rPr>
              <w:t>in</w:t>
            </w:r>
          </w:p>
        </w:tc>
        <w:tc>
          <w:tcPr>
            <w:tcW w:w="2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226" w:type="dxa"/>
            <w:tcBorders/>
            <w:vAlign w:val="center"/>
          </w:tcPr>
          <w:p>
            <w:pPr>
              <w:pStyle w:val="TableContents"/>
              <w:bidi w:val="0"/>
              <w:spacing w:before="0" w:after="1"/>
              <w:ind w:left="0" w:right="0" w:hanging="0"/>
              <w:jc w:val="left"/>
              <w:rPr/>
            </w:pPr>
            <w:r>
              <w:rP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26" w:type="dxa"/>
            <w:tcBorders/>
            <w:vAlign w:val="center"/>
          </w:tcPr>
          <w:p>
            <w:pPr>
              <w:pStyle w:val="TableContents"/>
              <w:bidi w:val="0"/>
              <w:spacing w:before="0" w:after="1"/>
              <w:ind w:left="0" w:right="0" w:hanging="0"/>
              <w:jc w:val="left"/>
              <w:rPr/>
            </w:pPr>
            <w:r>
              <w:rPr/>
              <w:t>​</w:t>
            </w:r>
          </w:p>
        </w:tc>
        <w:tc>
          <w:tcPr>
            <w:tcW w:w="112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Shareholders’</w:t>
            </w:r>
          </w:p>
        </w:tc>
      </w:tr>
      <w:tr>
        <w:trPr/>
        <w:tc>
          <w:tcPr>
            <w:tcW w:w="270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26" w:type="dxa"/>
            <w:tcBorders/>
            <w:vAlign w:val="center"/>
          </w:tcPr>
          <w:p>
            <w:pPr>
              <w:pStyle w:val="TableContents"/>
              <w:bidi w:val="0"/>
              <w:spacing w:before="0" w:after="1"/>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226" w:type="dxa"/>
            <w:tcBorders/>
            <w:vAlign w:val="center"/>
          </w:tcPr>
          <w:p>
            <w:pPr>
              <w:pStyle w:val="TableContents"/>
              <w:bidi w:val="0"/>
              <w:spacing w:before="0" w:after="1"/>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226" w:type="dxa"/>
            <w:tcBorders/>
            <w:vAlign w:val="center"/>
          </w:tcPr>
          <w:p>
            <w:pPr>
              <w:pStyle w:val="TableContents"/>
              <w:bidi w:val="0"/>
              <w:spacing w:before="0" w:after="1"/>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226" w:type="dxa"/>
            <w:tcBorders/>
            <w:vAlign w:val="center"/>
          </w:tcPr>
          <w:p>
            <w:pPr>
              <w:pStyle w:val="TableContents"/>
              <w:bidi w:val="0"/>
              <w:spacing w:before="0" w:after="1"/>
              <w:ind w:left="0" w:right="0" w:hanging="0"/>
              <w:jc w:val="left"/>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226" w:type="dxa"/>
            <w:tcBorders/>
            <w:vAlign w:val="center"/>
          </w:tcPr>
          <w:p>
            <w:pPr>
              <w:pStyle w:val="TableContents"/>
              <w:bidi w:val="0"/>
              <w:spacing w:before="0" w:after="1"/>
              <w:ind w:left="0" w:right="0" w:hanging="0"/>
              <w:jc w:val="left"/>
              <w:rPr/>
            </w:pPr>
            <w:r>
              <w:rPr/>
              <w:t>  ​</w:t>
            </w:r>
          </w:p>
        </w:tc>
        <w:tc>
          <w:tcPr>
            <w:tcW w:w="112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705"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at December 31, 2024</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69,061,418</w:t>
            </w:r>
          </w:p>
        </w:tc>
        <w:tc>
          <w:tcPr>
            <w:tcW w:w="226" w:type="dxa"/>
            <w:tcBorders/>
            <w:shd w:fill="CCEEFF" w:val="clear"/>
            <w:vAlign w:val="center"/>
          </w:tcPr>
          <w:p>
            <w:pPr>
              <w:pStyle w:val="TableContents"/>
              <w:bidi w:val="0"/>
              <w:spacing w:before="0" w:after="1"/>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5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890</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1,472,842</w:t>
            </w:r>
          </w:p>
        </w:tc>
        <w:tc>
          <w:tcPr>
            <w:tcW w:w="226" w:type="dxa"/>
            <w:tcBorders/>
            <w:shd w:fill="CCEEFF" w:val="clear"/>
            <w:vAlign w:val="center"/>
          </w:tcPr>
          <w:p>
            <w:pPr>
              <w:pStyle w:val="TableContents"/>
              <w:bidi w:val="0"/>
              <w:spacing w:before="0" w:after="1"/>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119</w:t>
            </w:r>
          </w:p>
        </w:tc>
        <w:tc>
          <w:tcPr>
            <w:tcW w:w="226"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(680,791)</w:t>
            </w:r>
          </w:p>
        </w:tc>
        <w:tc>
          <w:tcPr>
            <w:tcW w:w="226"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793,060</w:t>
            </w:r>
          </w:p>
        </w:tc>
      </w:tr>
      <w:tr>
        <w:trPr/>
        <w:tc>
          <w:tcPr>
            <w:tcW w:w="270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Issuance of ADSs upon settlement of restricted share units </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140,937</w:t>
            </w:r>
          </w:p>
        </w:tc>
        <w:tc>
          <w:tcPr>
            <w:tcW w:w="2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45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90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w:t>
            </w:r>
          </w:p>
        </w:tc>
      </w:tr>
      <w:tr>
        <w:trPr/>
        <w:tc>
          <w:tcPr>
            <w:tcW w:w="270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Share-based compensation expense </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455"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9,605</w:t>
            </w:r>
          </w:p>
        </w:tc>
        <w:tc>
          <w:tcPr>
            <w:tcW w:w="22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9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9,605</w:t>
            </w:r>
          </w:p>
        </w:tc>
      </w:tr>
      <w:tr>
        <w:trPr/>
        <w:tc>
          <w:tcPr>
            <w:tcW w:w="270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Foreign currency translation adjustment</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455"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(1,580)</w:t>
            </w:r>
          </w:p>
        </w:tc>
        <w:tc>
          <w:tcPr>
            <w:tcW w:w="2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90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(1,580)</w:t>
            </w:r>
          </w:p>
        </w:tc>
      </w:tr>
      <w:tr>
        <w:trPr/>
        <w:tc>
          <w:tcPr>
            <w:tcW w:w="270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Net loss </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5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(60,754)</w:t>
            </w:r>
          </w:p>
        </w:tc>
        <w:tc>
          <w:tcPr>
            <w:tcW w:w="226"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(60,754)</w:t>
            </w:r>
          </w:p>
        </w:tc>
      </w:tr>
      <w:tr>
        <w:trPr/>
        <w:tc>
          <w:tcPr>
            <w:tcW w:w="2705"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at March 31, 2025</w:t>
            </w:r>
          </w:p>
        </w:tc>
        <w:tc>
          <w:tcPr>
            <w:tcW w:w="346" w:type="dxa"/>
            <w:tcBorders/>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69,202,355</w:t>
            </w:r>
          </w:p>
        </w:tc>
        <w:tc>
          <w:tcPr>
            <w:tcW w:w="226" w:type="dxa"/>
            <w:tcBorders/>
            <w:vAlign w:val="center"/>
          </w:tcPr>
          <w:p>
            <w:pPr>
              <w:pStyle w:val="TableContents"/>
              <w:bidi w:val="0"/>
              <w:spacing w:before="0" w:after="1"/>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892</w:t>
            </w:r>
          </w:p>
        </w:tc>
        <w:tc>
          <w:tcPr>
            <w:tcW w:w="2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1,482,447</w:t>
            </w:r>
          </w:p>
        </w:tc>
        <w:tc>
          <w:tcPr>
            <w:tcW w:w="226" w:type="dxa"/>
            <w:tcBorders/>
            <w:vAlign w:val="center"/>
          </w:tcPr>
          <w:p>
            <w:pPr>
              <w:pStyle w:val="TableContents"/>
              <w:bidi w:val="0"/>
              <w:spacing w:before="0" w:after="1"/>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(1,461)</w:t>
            </w:r>
          </w:p>
        </w:tc>
        <w:tc>
          <w:tcPr>
            <w:tcW w:w="226"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(741,545)</w:t>
            </w:r>
          </w:p>
        </w:tc>
        <w:tc>
          <w:tcPr>
            <w:tcW w:w="226" w:type="dxa"/>
            <w:tcBorders/>
            <w:vAlign w:val="center"/>
          </w:tcPr>
          <w:p>
            <w:pPr>
              <w:pStyle w:val="TableContents"/>
              <w:bidi w:val="0"/>
              <w:spacing w:before="0" w:after="1"/>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740,333</w:t>
            </w:r>
          </w:p>
        </w:tc>
      </w:tr>
      <w:tr>
        <w:trPr/>
        <w:tc>
          <w:tcPr>
            <w:tcW w:w="270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Issuance of ADSs upon settlement of restricted share units </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51,589</w:t>
            </w:r>
          </w:p>
        </w:tc>
        <w:tc>
          <w:tcPr>
            <w:tcW w:w="2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45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9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r>
      <w:tr>
        <w:trPr/>
        <w:tc>
          <w:tcPr>
            <w:tcW w:w="270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Share-based compensation expense </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455"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9,435</w:t>
            </w:r>
          </w:p>
        </w:tc>
        <w:tc>
          <w:tcPr>
            <w:tcW w:w="22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90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9,435</w:t>
            </w:r>
          </w:p>
        </w:tc>
      </w:tr>
      <w:tr>
        <w:trPr/>
        <w:tc>
          <w:tcPr>
            <w:tcW w:w="270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Foreign currency translation adjustment</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455"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(1,902)</w:t>
            </w:r>
          </w:p>
        </w:tc>
        <w:tc>
          <w:tcPr>
            <w:tcW w:w="2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9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(1,902)</w:t>
            </w:r>
          </w:p>
        </w:tc>
      </w:tr>
      <w:tr>
        <w:trPr/>
        <w:tc>
          <w:tcPr>
            <w:tcW w:w="270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Net loss </w:t>
            </w:r>
          </w:p>
        </w:tc>
        <w:tc>
          <w:tcPr>
            <w:tcW w:w="346" w:type="dxa"/>
            <w:tcBorders/>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(78,952)</w:t>
            </w:r>
          </w:p>
        </w:tc>
        <w:tc>
          <w:tcPr>
            <w:tcW w:w="226" w:type="dxa"/>
            <w:tcBorders/>
            <w:vAlign w:val="center"/>
          </w:tcPr>
          <w:p>
            <w:pPr>
              <w:pStyle w:val="TableContents"/>
              <w:bidi w:val="0"/>
              <w:spacing w:before="0" w:after="1"/>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(78,952)</w:t>
            </w:r>
          </w:p>
        </w:tc>
      </w:tr>
      <w:tr>
        <w:trPr/>
        <w:tc>
          <w:tcPr>
            <w:tcW w:w="2705"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at June 30, 2025</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69,253,944</w:t>
            </w:r>
          </w:p>
        </w:tc>
        <w:tc>
          <w:tcPr>
            <w:tcW w:w="226" w:type="dxa"/>
            <w:tcBorders/>
            <w:shd w:fill="CCEEFF" w:val="clear"/>
            <w:vAlign w:val="center"/>
          </w:tcPr>
          <w:p>
            <w:pPr>
              <w:pStyle w:val="TableContents"/>
              <w:bidi w:val="0"/>
              <w:spacing w:before="0" w:after="1"/>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5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893</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1,491,882</w:t>
            </w:r>
          </w:p>
        </w:tc>
        <w:tc>
          <w:tcPr>
            <w:tcW w:w="226" w:type="dxa"/>
            <w:tcBorders/>
            <w:shd w:fill="CCEEFF" w:val="clear"/>
            <w:vAlign w:val="center"/>
          </w:tcPr>
          <w:p>
            <w:pPr>
              <w:pStyle w:val="TableContents"/>
              <w:bidi w:val="0"/>
              <w:spacing w:before="0" w:after="1"/>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(3,363)</w:t>
            </w:r>
          </w:p>
        </w:tc>
        <w:tc>
          <w:tcPr>
            <w:tcW w:w="226"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(820,497)</w:t>
            </w:r>
          </w:p>
        </w:tc>
        <w:tc>
          <w:tcPr>
            <w:tcW w:w="226"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07" w:type="dxa"/>
            <w:tcBorders>
              <w:bottom w:val="single" w:sz="2"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668,915</w:t>
            </w:r>
          </w:p>
        </w:tc>
      </w:tr>
    </w:tbl>
    <w:p>
      <w:pPr>
        <w:pStyle w:val="TextBody"/>
        <w:bidi w:val="0"/>
        <w:spacing w:before="0" w:after="240"/>
        <w:ind w:left="0" w:right="0" w:hanging="0"/>
        <w:jc w:val="left"/>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 condensed consolidated financial statements</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503" w:name="_7a666212_22e5_468b_807c_036e9f3853dc"/>
      <w:bookmarkEnd w:id="503"/>
      <w:r>
        <w:rPr>
          <w:rFonts w:ascii="Times New Roman;Times;serif" w:hAnsi="Times New Roman;Times;serif"/>
          <w:b/>
          <w:sz w:val="20"/>
        </w:rPr>
        <w:t>Bicycle Therapeutics plc</w:t>
      </w:r>
    </w:p>
    <w:p>
      <w:pPr>
        <w:pStyle w:val="TextBody"/>
        <w:bidi w:val="0"/>
        <w:spacing w:before="0" w:after="0"/>
        <w:ind w:left="0" w:right="0" w:hanging="0"/>
        <w:jc w:val="center"/>
        <w:rPr>
          <w:rFonts w:ascii="Times New Roman;Times;serif" w:hAnsi="Times New Roman;Times;serif"/>
          <w:b/>
          <w:sz w:val="20"/>
        </w:rPr>
      </w:pPr>
      <w:bookmarkStart w:id="504" w:name="ConsolidatedStatementsofCashFlows_838064"/>
      <w:bookmarkEnd w:id="504"/>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505" w:name="Tc_herFyaKstE-SAaS9g49XrQ_39_5"/>
      <w:bookmarkStart w:id="506" w:name="Tc_N6rT_BiRbUmXw9oHICzT3A_39_2"/>
      <w:bookmarkStart w:id="507" w:name="Tc_YJ1zoUai40CczXPRzQdTSg_39_0"/>
      <w:bookmarkStart w:id="508" w:name="Tc_qfHacVVTlE-UNmuUJuaIyA_38_5"/>
      <w:bookmarkStart w:id="509" w:name="Tc_1iGl6LQFnUa2xMq9WP56SA_38_2"/>
      <w:bookmarkStart w:id="510" w:name="Tc_73sFPYMbOE6zTwL5H1Tz2Q_38_0"/>
      <w:bookmarkStart w:id="511" w:name="Tc__PnBkMOc2Ey1HQ-B_F7Azg_37_5"/>
      <w:bookmarkStart w:id="512" w:name="Tc_DRQYA5k1FEmGQ4JNy5K2Zw_37_2"/>
      <w:bookmarkStart w:id="513" w:name="Tc_LbvHPN8hYEmt-AWN-cjZUA_37_0"/>
      <w:bookmarkStart w:id="514" w:name="Tc_gNOCtYHrnEeaFTYSpVVYEA_36_5"/>
      <w:bookmarkStart w:id="515" w:name="Tc_hVxlyw9fPUOL8lfhjUB0AQ_36_2"/>
      <w:bookmarkStart w:id="516" w:name="Tc_9VpbLnfxWEyW1FBWeYJd5g_36_0"/>
      <w:bookmarkStart w:id="517" w:name="Tc_bWedwCT04Ui3NuUbNhbrvg_35_0"/>
      <w:bookmarkStart w:id="518" w:name="Tc_PeKbkJpTAU6a24BidvKqRg_34_5"/>
      <w:bookmarkStart w:id="519" w:name="Tc_V1sN1IcDhESyKU547rw9_Q_34_2"/>
      <w:bookmarkStart w:id="520" w:name="Tc_AJBv4EqjWkC2E-LHFzSbeA_34_0"/>
      <w:bookmarkStart w:id="521" w:name="Tc_rtEvQvbsVUeRudXE8gp5mA_33_6"/>
      <w:bookmarkStart w:id="522" w:name="Tc_AcHknZuqzUaZqvmPx67edA_33_0"/>
      <w:bookmarkStart w:id="523" w:name="Tc_uat8Q9afREm5SKZQPqh0Iw_32_3"/>
      <w:bookmarkStart w:id="524" w:name="Tc_wIhIVAUuMUqQKT9esjHY6g_31_5"/>
      <w:bookmarkStart w:id="525" w:name="Tc_y37YTgpaik6Y6eX-ZX0bRg_31_2"/>
      <w:bookmarkStart w:id="526" w:name="Tc__J18ENR2mUysU0GyKT_Gjg_31_0"/>
      <w:bookmarkStart w:id="527" w:name="Tc_dgq1sx5Lj0yO2oCjCqVYzA_30_0"/>
      <w:bookmarkStart w:id="528" w:name="Tc_9u277OMTlkW9pU5L-_vR0g_29_5"/>
      <w:bookmarkStart w:id="529" w:name="Tc_5K4eyaZ12EyH5mLJoJuVeQ_29_2"/>
      <w:bookmarkStart w:id="530" w:name="Tc_Xp0ImbjP3EKMyksrNz6pew_29_0"/>
      <w:bookmarkStart w:id="531" w:name="Tc_YmIgPUyflE-qIn7uYcObiQ_28_0"/>
      <w:bookmarkStart w:id="532" w:name="Tc_U9U0q7LNREiNqPGXMJpOpA_27_0"/>
      <w:bookmarkStart w:id="533" w:name="Tc_7lHOTxVz2UyewkdlGu4WOA_26_0"/>
      <w:bookmarkStart w:id="534" w:name="Tc_G9KsKjHWCEW3k-et0LLzmg_25_0"/>
      <w:bookmarkStart w:id="535" w:name="Tc_jM_g5mn2qkyFEEYe_xHC1Q_24_0"/>
      <w:bookmarkStart w:id="536" w:name="Tc_CaWKYkRStkybFLUdEs3HAQ_23_0"/>
      <w:bookmarkStart w:id="537" w:name="Tc_h64p9DJB_kS3yAN_8mraig_22_0"/>
      <w:bookmarkStart w:id="538" w:name="Tc_URIbD-oPHUqvTrb8J0GQBA_21_0"/>
      <w:bookmarkStart w:id="539" w:name="Tc_lePOWctbJkO-wBp47NluBQ_20_0"/>
      <w:bookmarkStart w:id="540" w:name="Tc_0_P0dJyHD0CzMSD2nSfb4Q_19_0"/>
      <w:bookmarkStart w:id="541" w:name="Tc_w-W3MIWLjU6IyrFSOZ1cDw_18_0"/>
      <w:bookmarkStart w:id="542" w:name="Tc_OML7ba23jUOEHfLoX7vryw_17_0"/>
      <w:bookmarkStart w:id="543" w:name="Tc_jRppmfYsmEmohNydAFCcaw_16_0"/>
      <w:bookmarkStart w:id="544" w:name="Tc_bxmcqIfhykqfx7R16h1hGw_15_0"/>
      <w:bookmarkStart w:id="545" w:name="Tc_e5RQCjiWD02uo_lh_4RN3g_14_0"/>
      <w:bookmarkStart w:id="546" w:name="Tc_UvvCmlgwhUeib3Lk7ZHIMA_13_0"/>
      <w:bookmarkStart w:id="547" w:name="Tc_xhC76eaeCkW1dSJlwN3U3A_12_0"/>
      <w:bookmarkStart w:id="548" w:name="Tc_P2moh9qLDkyHopsy18X7AQ_11_0"/>
      <w:bookmarkStart w:id="549" w:name="Tc__EWVCtVlqEa4HB2CqHpMeA_10_0"/>
      <w:bookmarkStart w:id="550" w:name="Tc_g9OxBs8ekkSnHD2YF4VuwQ_9_0"/>
      <w:bookmarkStart w:id="551" w:name="Tc_32CrtAd3LEWjhbM07n1c5w_8_0"/>
      <w:bookmarkStart w:id="552" w:name="Tc_-sx33pjjSUWwFcifFIkl2w_7_0"/>
      <w:bookmarkStart w:id="553" w:name="Tc_HM8aO1c8HkOjBmqo0CFT0g_6_0"/>
      <w:bookmarkStart w:id="554" w:name="Tc_7RtmKhduyE6cerMObUXVOQ_5_5"/>
      <w:bookmarkStart w:id="555" w:name="Tc_4mPTv8WwSk-6kGWW0jDVDA_5_2"/>
      <w:bookmarkStart w:id="556" w:name="Tc_CCz9MpiKNUGQvIalb99FGA_5_0"/>
      <w:bookmarkStart w:id="557" w:name="Tc_Z5ZOouMomUaaTqOkZiREXQ_4_0"/>
      <w:bookmarkStart w:id="558" w:name="Tc_oL4CDimZLkK2REEfjqC1eQ_3_5"/>
      <w:bookmarkStart w:id="559" w:name="Tc_unAA5lHhPk2ClSkguPS2SA_3_2"/>
      <w:bookmarkStart w:id="560" w:name="Tc_owEWZWSbFUKLOadRaWKHjQ_2_2"/>
      <w:bookmarkStart w:id="561" w:name="Tc_rIfJnIH0xkWkvJS_zktW8A_1_2"/>
      <w:bookmarkStart w:id="562" w:name="_0aa606b9_a03b_49f9_9307_51115e5f419d"/>
      <w:bookmarkStart w:id="563" w:name="Tc_herFyaKstE-SAaS9g49XrQ_39_5"/>
      <w:bookmarkStart w:id="564" w:name="Tc_N6rT_BiRbUmXw9oHICzT3A_39_2"/>
      <w:bookmarkStart w:id="565" w:name="Tc_YJ1zoUai40CczXPRzQdTSg_39_0"/>
      <w:bookmarkStart w:id="566" w:name="Tc_qfHacVVTlE-UNmuUJuaIyA_38_5"/>
      <w:bookmarkStart w:id="567" w:name="Tc_1iGl6LQFnUa2xMq9WP56SA_38_2"/>
      <w:bookmarkStart w:id="568" w:name="Tc_73sFPYMbOE6zTwL5H1Tz2Q_38_0"/>
      <w:bookmarkStart w:id="569" w:name="Tc__PnBkMOc2Ey1HQ-B_F7Azg_37_5"/>
      <w:bookmarkStart w:id="570" w:name="Tc_DRQYA5k1FEmGQ4JNy5K2Zw_37_2"/>
      <w:bookmarkStart w:id="571" w:name="Tc_LbvHPN8hYEmt-AWN-cjZUA_37_0"/>
      <w:bookmarkStart w:id="572" w:name="Tc_gNOCtYHrnEeaFTYSpVVYEA_36_5"/>
      <w:bookmarkStart w:id="573" w:name="Tc_hVxlyw9fPUOL8lfhjUB0AQ_36_2"/>
      <w:bookmarkStart w:id="574" w:name="Tc_9VpbLnfxWEyW1FBWeYJd5g_36_0"/>
      <w:bookmarkStart w:id="575" w:name="Tc_bWedwCT04Ui3NuUbNhbrvg_35_0"/>
      <w:bookmarkStart w:id="576" w:name="Tc_PeKbkJpTAU6a24BidvKqRg_34_5"/>
      <w:bookmarkStart w:id="577" w:name="Tc_V1sN1IcDhESyKU547rw9_Q_34_2"/>
      <w:bookmarkStart w:id="578" w:name="Tc_AJBv4EqjWkC2E-LHFzSbeA_34_0"/>
      <w:bookmarkStart w:id="579" w:name="Tc_rtEvQvbsVUeRudXE8gp5mA_33_6"/>
      <w:bookmarkStart w:id="580" w:name="Tc_AcHknZuqzUaZqvmPx67edA_33_0"/>
      <w:bookmarkStart w:id="581" w:name="Tc_uat8Q9afREm5SKZQPqh0Iw_32_3"/>
      <w:bookmarkStart w:id="582" w:name="Tc_wIhIVAUuMUqQKT9esjHY6g_31_5"/>
      <w:bookmarkStart w:id="583" w:name="Tc_y37YTgpaik6Y6eX-ZX0bRg_31_2"/>
      <w:bookmarkStart w:id="584" w:name="Tc__J18ENR2mUysU0GyKT_Gjg_31_0"/>
      <w:bookmarkStart w:id="585" w:name="Tc_dgq1sx5Lj0yO2oCjCqVYzA_30_0"/>
      <w:bookmarkStart w:id="586" w:name="Tc_9u277OMTlkW9pU5L-_vR0g_29_5"/>
      <w:bookmarkStart w:id="587" w:name="Tc_5K4eyaZ12EyH5mLJoJuVeQ_29_2"/>
      <w:bookmarkStart w:id="588" w:name="Tc_Xp0ImbjP3EKMyksrNz6pew_29_0"/>
      <w:bookmarkStart w:id="589" w:name="Tc_YmIgPUyflE-qIn7uYcObiQ_28_0"/>
      <w:bookmarkStart w:id="590" w:name="Tc_U9U0q7LNREiNqPGXMJpOpA_27_0"/>
      <w:bookmarkStart w:id="591" w:name="Tc_7lHOTxVz2UyewkdlGu4WOA_26_0"/>
      <w:bookmarkStart w:id="592" w:name="Tc_G9KsKjHWCEW3k-et0LLzmg_25_0"/>
      <w:bookmarkStart w:id="593" w:name="Tc_jM_g5mn2qkyFEEYe_xHC1Q_24_0"/>
      <w:bookmarkStart w:id="594" w:name="Tc_CaWKYkRStkybFLUdEs3HAQ_23_0"/>
      <w:bookmarkStart w:id="595" w:name="Tc_h64p9DJB_kS3yAN_8mraig_22_0"/>
      <w:bookmarkStart w:id="596" w:name="Tc_URIbD-oPHUqvTrb8J0GQBA_21_0"/>
      <w:bookmarkStart w:id="597" w:name="Tc_lePOWctbJkO-wBp47NluBQ_20_0"/>
      <w:bookmarkStart w:id="598" w:name="Tc_0_P0dJyHD0CzMSD2nSfb4Q_19_0"/>
      <w:bookmarkStart w:id="599" w:name="Tc_w-W3MIWLjU6IyrFSOZ1cDw_18_0"/>
      <w:bookmarkStart w:id="600" w:name="Tc_OML7ba23jUOEHfLoX7vryw_17_0"/>
      <w:bookmarkStart w:id="601" w:name="Tc_jRppmfYsmEmohNydAFCcaw_16_0"/>
      <w:bookmarkStart w:id="602" w:name="Tc_bxmcqIfhykqfx7R16h1hGw_15_0"/>
      <w:bookmarkStart w:id="603" w:name="Tc_e5RQCjiWD02uo_lh_4RN3g_14_0"/>
      <w:bookmarkStart w:id="604" w:name="Tc_UvvCmlgwhUeib3Lk7ZHIMA_13_0"/>
      <w:bookmarkStart w:id="605" w:name="Tc_xhC76eaeCkW1dSJlwN3U3A_12_0"/>
      <w:bookmarkStart w:id="606" w:name="Tc_P2moh9qLDkyHopsy18X7AQ_11_0"/>
      <w:bookmarkStart w:id="607" w:name="Tc__EWVCtVlqEa4HB2CqHpMeA_10_0"/>
      <w:bookmarkStart w:id="608" w:name="Tc_g9OxBs8ekkSnHD2YF4VuwQ_9_0"/>
      <w:bookmarkStart w:id="609" w:name="Tc_32CrtAd3LEWjhbM07n1c5w_8_0"/>
      <w:bookmarkStart w:id="610" w:name="Tc_-sx33pjjSUWwFcifFIkl2w_7_0"/>
      <w:bookmarkStart w:id="611" w:name="Tc_HM8aO1c8HkOjBmqo0CFT0g_6_0"/>
      <w:bookmarkStart w:id="612" w:name="Tc_7RtmKhduyE6cerMObUXVOQ_5_5"/>
      <w:bookmarkStart w:id="613" w:name="Tc_4mPTv8WwSk-6kGWW0jDVDA_5_2"/>
      <w:bookmarkStart w:id="614" w:name="Tc_CCz9MpiKNUGQvIalb99FGA_5_0"/>
      <w:bookmarkStart w:id="615" w:name="Tc_Z5ZOouMomUaaTqOkZiREXQ_4_0"/>
      <w:bookmarkStart w:id="616" w:name="Tc_oL4CDimZLkK2REEfjqC1eQ_3_5"/>
      <w:bookmarkStart w:id="617" w:name="Tc_unAA5lHhPk2ClSkguPS2SA_3_2"/>
      <w:bookmarkStart w:id="618" w:name="Tc_owEWZWSbFUKLOadRaWKHjQ_2_2"/>
      <w:bookmarkStart w:id="619" w:name="Tc_rIfJnIH0xkWkvJS_zktW8A_1_2"/>
      <w:bookmarkStart w:id="620" w:name="_0aa606b9_a03b_49f9_9307_51115e5f419d"/>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p>
    <w:tbl>
      <w:tblPr>
        <w:tblW w:w="9337" w:type="dxa"/>
        <w:jc w:val="left"/>
        <w:tblInd w:w="0" w:type="dxa"/>
        <w:tblLayout w:type="fixed"/>
        <w:tblCellMar>
          <w:top w:w="0" w:type="dxa"/>
          <w:left w:w="0" w:type="dxa"/>
          <w:bottom w:w="0" w:type="dxa"/>
          <w:right w:w="0" w:type="dxa"/>
        </w:tblCellMar>
      </w:tblPr>
      <w:tblGrid>
        <w:gridCol w:w="6586"/>
        <w:gridCol w:w="346"/>
        <w:gridCol w:w="196"/>
        <w:gridCol w:w="811"/>
        <w:gridCol w:w="346"/>
        <w:gridCol w:w="196"/>
        <w:gridCol w:w="856"/>
      </w:tblGrid>
      <w:tr>
        <w:trPr/>
        <w:tc>
          <w:tcPr>
            <w:tcW w:w="6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7" name="Frame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24460" cy="175260"/>
                      <wp:effectExtent l="0" t="0" r="0" b="0"/>
                      <wp:wrapNone/>
                      <wp:docPr id="58" name="Frame5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514985" cy="175260"/>
                      <wp:effectExtent l="0" t="0" r="0" b="0"/>
                      <wp:wrapNone/>
                      <wp:docPr id="59" name="Frame59"/>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175260"/>
                      <wp:effectExtent l="0" t="0" r="0" b="0"/>
                      <wp:wrapNone/>
                      <wp:docPr id="60" name="Frame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24460" cy="175260"/>
                      <wp:effectExtent l="0" t="0" r="0" b="0"/>
                      <wp:wrapNone/>
                      <wp:docPr id="61" name="Frame6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543560" cy="175260"/>
                      <wp:effectExtent l="0" t="0" r="0" b="0"/>
                      <wp:wrapNone/>
                      <wp:docPr id="62" name="Frame62"/>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40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6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4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6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58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r>
      <w:tr>
        <w:trPr/>
        <w:tc>
          <w:tcPr>
            <w:tcW w:w="65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loss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(111,158)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(139,706)</w:t>
            </w:r>
          </w:p>
        </w:tc>
      </w:tr>
      <w:tr>
        <w:trPr/>
        <w:tc>
          <w:tcPr>
            <w:tcW w:w="65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Adjustments to reconcile net loss to 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  ​</w:t>
            </w:r>
          </w:p>
        </w:tc>
      </w:tr>
      <w:tr>
        <w:trPr/>
        <w:tc>
          <w:tcPr>
            <w:tcW w:w="65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Share-based compensation expense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13,334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19,040</w:t>
            </w:r>
          </w:p>
        </w:tc>
      </w:tr>
      <w:tr>
        <w:trPr/>
        <w:tc>
          <w:tcPr>
            <w:tcW w:w="65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2,196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3,330</w:t>
            </w:r>
          </w:p>
        </w:tc>
      </w:tr>
      <w:tr>
        <w:trPr/>
        <w:tc>
          <w:tcPr>
            <w:tcW w:w="65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income tax provision (benefit)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(1,647)</w:t>
            </w:r>
          </w:p>
        </w:tc>
      </w:tr>
      <w:tr>
        <w:trPr/>
        <w:tc>
          <w:tcPr>
            <w:tcW w:w="65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Changes in operating assets and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r>
      <w:tr>
        <w:trPr/>
        <w:tc>
          <w:tcPr>
            <w:tcW w:w="65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Research and development incentives receivable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(12,556)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(20,781)</w:t>
            </w:r>
          </w:p>
        </w:tc>
      </w:tr>
      <w:tr>
        <w:trPr/>
        <w:tc>
          <w:tcPr>
            <w:tcW w:w="65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(8,571)</w:t>
            </w:r>
          </w:p>
        </w:tc>
      </w:tr>
      <w:tr>
        <w:trPr/>
        <w:tc>
          <w:tcPr>
            <w:tcW w:w="65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right</w:t>
              <w:noBreakHyphen/>
              <w:t>of</w:t>
              <w:noBreakHyphen/>
              <w:t>use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1,699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2,235</w:t>
            </w:r>
          </w:p>
        </w:tc>
      </w:tr>
      <w:tr>
        <w:trPr/>
        <w:tc>
          <w:tcPr>
            <w:tcW w:w="65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(3,897)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1,080</w:t>
            </w:r>
          </w:p>
        </w:tc>
      </w:tr>
      <w:tr>
        <w:trPr/>
        <w:tc>
          <w:tcPr>
            <w:tcW w:w="65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expenses and other current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(2,950)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972</w:t>
            </w:r>
          </w:p>
        </w:tc>
      </w:tr>
      <w:tr>
        <w:trPr/>
        <w:tc>
          <w:tcPr>
            <w:tcW w:w="65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(2,656)</w:t>
            </w:r>
          </w:p>
        </w:tc>
      </w:tr>
      <w:tr>
        <w:trPr/>
        <w:tc>
          <w:tcPr>
            <w:tcW w:w="65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revenue</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(12,452)</w:t>
            </w:r>
          </w:p>
        </w:tc>
      </w:tr>
      <w:tr>
        <w:trPr/>
        <w:tc>
          <w:tcPr>
            <w:tcW w:w="65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(115,531)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(159,156)</w:t>
            </w:r>
          </w:p>
        </w:tc>
      </w:tr>
      <w:tr>
        <w:trPr/>
        <w:tc>
          <w:tcPr>
            <w:tcW w:w="658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investing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  ​</w:t>
            </w:r>
          </w:p>
        </w:tc>
      </w:tr>
      <w:tr>
        <w:trPr/>
        <w:tc>
          <w:tcPr>
            <w:tcW w:w="65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property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(1,102)</w:t>
            </w:r>
          </w:p>
        </w:tc>
      </w:tr>
      <w:tr>
        <w:trPr/>
        <w:tc>
          <w:tcPr>
            <w:tcW w:w="65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investing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(1,102)</w:t>
            </w:r>
          </w:p>
        </w:tc>
      </w:tr>
      <w:tr>
        <w:trPr/>
        <w:tc>
          <w:tcPr>
            <w:tcW w:w="658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  ​</w:t>
            </w:r>
          </w:p>
        </w:tc>
      </w:tr>
      <w:tr>
        <w:trPr/>
        <w:tc>
          <w:tcPr>
            <w:tcW w:w="65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the exercise of share options and settlement of restricted share units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r>
      <w:tr>
        <w:trPr/>
        <w:tc>
          <w:tcPr>
            <w:tcW w:w="65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Payments of finance lease obligations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w:t>
            </w:r>
          </w:p>
        </w:tc>
      </w:tr>
      <w:tr>
        <w:trPr/>
        <w:tc>
          <w:tcPr>
            <w:tcW w:w="65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financing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w:t>
            </w:r>
          </w:p>
        </w:tc>
      </w:tr>
      <w:tr>
        <w:trPr/>
        <w:tc>
          <w:tcPr>
            <w:tcW w:w="658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Effect of exchange rate changes on cash, cash equivalents and 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2,275</w:t>
            </w:r>
          </w:p>
        </w:tc>
      </w:tr>
      <w:tr>
        <w:trPr/>
        <w:tc>
          <w:tcPr>
            <w:tcW w:w="65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decrease in cash, cash equivalents and restricted cash</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(118,606)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(158,069)</w:t>
            </w:r>
          </w:p>
        </w:tc>
      </w:tr>
      <w:tr>
        <w:trPr/>
        <w:tc>
          <w:tcPr>
            <w:tcW w:w="65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cash equivalents and restricted cash at beginning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628,715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880,067</w:t>
            </w:r>
          </w:p>
        </w:tc>
      </w:tr>
      <w:tr>
        <w:trPr/>
        <w:tc>
          <w:tcPr>
            <w:tcW w:w="65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cash equivalents and restricted cash at end of period</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510,109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721,998</w:t>
            </w:r>
          </w:p>
        </w:tc>
      </w:tr>
      <w:tr>
        <w:trPr/>
        <w:tc>
          <w:tcPr>
            <w:tcW w:w="658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Reconciliation of cash, cash equivalents and 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r>
      <w:tr>
        <w:trPr/>
        <w:tc>
          <w:tcPr>
            <w:tcW w:w="65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510,052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721,451</w:t>
            </w:r>
          </w:p>
        </w:tc>
      </w:tr>
      <w:tr>
        <w:trPr/>
        <w:tc>
          <w:tcPr>
            <w:tcW w:w="658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Restricted cash in prepaid expenses and 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547</w:t>
            </w:r>
          </w:p>
        </w:tc>
      </w:tr>
      <w:tr>
        <w:trPr/>
        <w:tc>
          <w:tcPr>
            <w:tcW w:w="65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Restricted cash in other assets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5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cash, cash equivalents and 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510,109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721,998</w:t>
            </w:r>
          </w:p>
        </w:tc>
      </w:tr>
      <w:tr>
        <w:trPr/>
        <w:tc>
          <w:tcPr>
            <w:tcW w:w="658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Supplemental disclosure of cash flow information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  ​</w:t>
            </w:r>
          </w:p>
        </w:tc>
      </w:tr>
      <w:tr>
        <w:trPr/>
        <w:tc>
          <w:tcPr>
            <w:tcW w:w="65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paid for interest on finance lease obligations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w:t>
            </w:r>
          </w:p>
        </w:tc>
      </w:tr>
      <w:tr>
        <w:trPr/>
        <w:tc>
          <w:tcPr>
            <w:tcW w:w="65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paid for (received from) income taxes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(1,121)</w:t>
            </w:r>
          </w:p>
        </w:tc>
      </w:tr>
      <w:tr>
        <w:trPr/>
        <w:tc>
          <w:tcPr>
            <w:tcW w:w="65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paid for amounts included in the measurement of 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2,468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2,956</w:t>
            </w:r>
          </w:p>
        </w:tc>
      </w:tr>
      <w:tr>
        <w:trPr/>
        <w:tc>
          <w:tcPr>
            <w:tcW w:w="65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Changes in purchases of property and equipment in accounts payable and accrued expenses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271</w:t>
            </w:r>
          </w:p>
        </w:tc>
      </w:tr>
    </w:tbl>
    <w:p>
      <w:pPr>
        <w:pStyle w:val="TextBody"/>
        <w:bidi w:val="0"/>
        <w:spacing w:before="0" w:after="0"/>
        <w:ind w:left="0" w:right="0" w:hanging="0"/>
        <w:jc w:val="left"/>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621" w:name="_301e46e3_b731_4493_ba9d_d46864da937b"/>
      <w:bookmarkEnd w:id="621"/>
      <w:r>
        <w:rPr>
          <w:rFonts w:ascii="Times New Roman;Times;serif" w:hAnsi="Times New Roman;Times;serif"/>
          <w:b/>
          <w:sz w:val="20"/>
        </w:rPr>
        <w:t>Bicycle Therapeutics plc</w:t>
      </w:r>
    </w:p>
    <w:p>
      <w:pPr>
        <w:pStyle w:val="TextBody"/>
        <w:bidi w:val="0"/>
        <w:spacing w:before="0" w:after="240"/>
        <w:ind w:left="0" w:right="0" w:hanging="0"/>
        <w:jc w:val="center"/>
        <w:rPr>
          <w:rFonts w:ascii="Times New Roman;Times;serif" w:hAnsi="Times New Roman;Times;serif"/>
          <w:b/>
          <w:sz w:val="20"/>
        </w:rPr>
      </w:pPr>
      <w:bookmarkStart w:id="622" w:name="NotestoUnauditedCondensedConsolidatedFin"/>
      <w:bookmarkEnd w:id="622"/>
      <w:r>
        <w:rPr>
          <w:rFonts w:ascii="Times New Roman;Times;serif" w:hAnsi="Times New Roman;Times;serif"/>
          <w:b/>
          <w:sz w:val="20"/>
        </w:rPr>
        <w:t>Notes to Condensed Consolidated Financial Statements</w:t>
        <w:br/>
        <w:t>(Unaudited)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 Nature of the business and basis of presentation</w:t>
      </w:r>
    </w:p>
    <w:p>
      <w:pPr>
        <w:pStyle w:val="TextBody"/>
        <w:bidi w:val="0"/>
        <w:spacing w:lineRule="auto" w:line="240" w:before="0" w:after="240"/>
        <w:ind w:left="0" w:right="0" w:firstLine="720"/>
        <w:jc w:val="left"/>
        <w:rPr>
          <w:rFonts w:ascii="Times New Roman;Times;serif" w:hAnsi="Times New Roman;Times;serif"/>
          <w:sz w:val="20"/>
        </w:rPr>
      </w:pPr>
      <w:r>
        <w:rPr>
          <w:rFonts w:ascii="Times New Roman;Times;serif" w:hAnsi="Times New Roman;Times;serif"/>
          <w:sz w:val="20"/>
        </w:rPr>
        <w:t>Bicycle Therapeutics plc (collectively with its subsidiaries, the “Company”) is a clinical-stage pharmaceutical company developing a novel class of medicines, which the Company refers to as Bicycle</w:t>
      </w:r>
      <w:r>
        <w:rPr>
          <w:rFonts w:ascii="Times New Roman;Times;serif" w:hAnsi="Times New Roman;Times;serif"/>
          <w:sz w:val="15"/>
        </w:rPr>
        <w:t>®</w:t>
      </w:r>
      <w:r>
        <w:rPr>
          <w:rFonts w:ascii="Times New Roman;Times;serif" w:hAnsi="Times New Roman;Times;serif"/>
          <w:sz w:val="20"/>
        </w:rPr>
        <w:t xml:space="preserve"> molecules, for diseases that are underserved by existing therapeutics. Bicycle molecules are a unique therapeutic modality combining the pharmacology usually associated with a biologic with the manufacturing and pharmacokinetic properties of a small molecule. The Company’s internal programs are focused on oncology indications with high unmet medical need.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accompanying condensed consolidated financial statements include the accounts of Bicycle Therapeutics plc and its wholly owned subsidiaries, BicycleTx Limited, BicycleRD Limited and Bicycle Therapeutics Inc. All intercompany balances and transactions have been eliminated on consolidation.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accompanying condensed consolidated financial statements have been prepared in accordance with accounting principles generally accepted in the United States of America (“GAAP”).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Liquidity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of June 30, 2026, the Company had cash and cash equivalents of $510.1 million.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accompanying condensed consolidated financial statements have been prepared on the basis of continuity of operations, realization of assets and the satisfaction of liabilities and commitments in the ordinary course of business. Since inception, the Company has devoted substantially all of its efforts to business planning, research and development, recruiting management and technical staff, and raising capital. The Company has funded its operations primarily through the sale of equity securities, payments received under collaboration arrangements (Note 8) and loan borrowings.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has incurred recurring losses since inception, including net losses of $50.3 million and $111.2 million for the three and six months ended June 30, 2026, respectively, and $79.0 million and $139.7 million for the three and six months ended June 30, 2025, respectively. As of June 30, 2026, the Company had an accumulated deficit of $1.0 billion. The Company expects to continue to generate operating losses in the foreseeable future. The Company expects that its cash and cash equivalents will be sufficient to fund its operating expenses and capital expenditure requirements through at least twelve months from the issuance date of these interim condensed consolidated financial statements.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expects its expenses to increase substantially in connection with ongoing activities, particularly if, and as, the Company advances its clinical trials for its product candidates in development and preclinical activities. Accordingly, the Company will need to obtain additional funding in connection with continuing operations. If the Company is unable to raise funding when needed, or on attractive terms, it could be forced to delay, reduce or eliminate its research or drug development programs or any future commercialization efforts. There is no assurance that the Company will be successful in obtaining sufficient funding on terms acceptable to the Company to fund continuing operations, if at all.</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is subject to risks common to companies in the biotechnology and pharmaceutical industries, including but not limited to, risks of delays in initiating or continuing research programs and clinical trials, risks of failure of preclinical studies and clinical trials, the need to obtain marketing approval for any drug product candidate that it may identify and develop, the need to successfully commercialize and gain market acceptance of its product candidates, if approved, dependence on key personnel and collaboration partners, protection of proprietary technology, compliance with government regulations, development by competitors of technological innovations, and the ability to secure additional capital to fund operations. Product candidates currently under development will require significant additional research and development efforts, including preclinical and clinical testing and regulatory approval prior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commercialization. Even if the Company’s research and development efforts are successful, it is uncertain when, if ever, the Company will realize significant revenue from product sales.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 Summary of significant accounting policies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significant accounting policies are disclosed in the audited consolidated financial statements for the year ended December 31, 2025 included in the Company’s Annual Report on Form 10-K for the year ended December 31, 2025, which was filed with the Securities and Exchange Commission (the “SEC”), on March 17, 2026 (the “2025 Annual Report”). Since the date of such consolidated financial statements, there have been no changes to the Company’s significant accounting policies, other than those disclosed below.</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Use of estimates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preparation of condensed consolidated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expenses during the reporting periods. Significant estimates and assumptions reflected in these condensed consolidated financial statements include, but are not limited to, revenue recognition, the accrual for research and development expenses and research and development incentives receivable, share-based compensation expense, valuation of right-of-use assets and lease liabilities and income taxes, including the valuation allowance for deferred tax assets. The Company bases its estimates on historical experience, known trends and other market-specific or other relevant factors that it believes to be reasonable under the circumstances. Estimates are periodically reviewed in light of reasonable changes in circumstances, facts and experience. Changes in estimates are recorded in the period in which they become known. Actual results could differ from those estimates or assumptions.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Significant risks and uncertainties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currently operates in a period of economic uncertainty which has been significantly impacted by domestic and global monetary and fiscal policy, changes to global trade policies, geopolitical conflicts and wars, inflation and interest rates, and fluctuations in monetary exchange rates. While the Company has experienced limited financial impacts at this time, the Company continues to monitor these factors and events and the potential effects each may have on the Company’s business, financial condition, results of operations and growth prospects.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Unaudited interim financial information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Certain information in the footnote disclosures of these financial statements has been condensed or omitted pursuant to the rules and regulations of the SEC. These unaudited condensed consolidated financial statements should be read in conjunction with the Company’s audited consolidated financial statements and notes thereto for the year ended December 31, 2025 included in the Company’s 2025 Annual Report.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accompanying condensed consolidated balance sheet as of June 30, 2026, the condensed consolidated statements of operations and comprehensive loss and condensed consolidated statements of shareholders’ equity for the three and six months ended June 30, 2026 and 2025 and the condensed consolidated statements of cash flows for the six months ended June 30, 2026 and 2025, and the related financial information disclosed in these notes are unaudited. The unaudited interim financial statements have been prepared on the same basis as the audited annual financial statements for the year ended December 31, 2025, and, in the opinion of management, reflect all adjustments, consisting of normal recurring adjustments, necessary for the fair statement of the Company’s financial position as of June 30, 2026, and the results of its operations for the three and six months ended June 30, 2026 and 2025 and its cash flows for the six months ended June 30, 2026 and 2025. The results for the three and six months ended June 30, 2026 are not necessarily indicative of the results to be expected for the year ending December 31, 2026, any other interim periods, or any future year or period.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Research and development incentives and receivable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through its subsidiaries in the U.K., receives reimbursements of certain research and development expenditures as part of a U.K. government research and development tax reliefs program. The Finance Act 2024, which was enacted in February 2024, replaced the legacy research and development expenditure credit and the Small and Medium-sized Enterprises (“SME”) R&amp;D Tax Relief program with a merged research and development expenditure credit scheme (“RDEC”) and an enhanced research and development intensive support scheme (“ERIS”). The Finance Act 2024 also restricts the tax relief that can be claimed for expenditures incurred on contracted out R&amp;D activities or externally provided workers, where such contracted out activities are not carried out in the U.K. or such workers are not subject to UK payroll taxes. The Finance Act 2024 provides for a cash rebate that may be claimed under the ERIS scheme for 26.97% of qualifying expenditure if the Company qualifies as “R&amp;D intensive” for an accounting period (broadly, a loss-making SME whose relevant R&amp;D expenditure represents 30% of its total expenditure for that accounting period). The Company qualified as R&amp;D intensive for the year ended December 31, 2025, and expects to continue to qualify as R&amp;D intensive for the year ended December 31, 2026. Going forward, if the Company no longer qualifies as an R&amp;D-intensive SME during an accounting period, the Company will be subject to a single 20% gross rebate rate applying to all claims under the RDEC scheme.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recognizes income from research and development incentives when the relevant expenditure has been incurred, the associated conditions have been satisfied and there is reasonable assurance that the reimbursement will be received. The Company records these research and development incentives as a reduction to research and development expenses in the condensed consolidated statements of operations and comprehensive loss, as the research and development tax credits are not dependent on the Company generating future taxable income, the Company’s ongoing tax status or tax position. The research and development incentives receivable represents amounts due in connection with the above program. The Company recorded a reduction to research and development expenses of $6.5 million and $12.5 million during the three and six months ended June 30, 2026, respectively, and $11.5 million and $20.8 million during the three and six months ended June 30, 2025, respectively. As of June 30, 2026 and December 31, 2025, the Company had research and development incentives receivable of $47.4 million and $35.6 million, respectively.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Recently issued accounting pronouncements not yet adopted</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November 2024, the FASB issued ASU No. 2024-03, </w:t>
      </w:r>
      <w:r>
        <w:rPr>
          <w:rFonts w:ascii="Times New Roman;Times;serif" w:hAnsi="Times New Roman;Times;serif"/>
          <w:i/>
          <w:sz w:val="20"/>
        </w:rPr>
        <w:t>Income Statement – Reporting Comprehensive Income – Expense Disaggregation Disclosures (Subtopic 220-40)</w:t>
      </w:r>
      <w:r>
        <w:rPr>
          <w:rFonts w:ascii="Times New Roman;Times;serif" w:hAnsi="Times New Roman;Times;serif"/>
          <w:sz w:val="20"/>
        </w:rPr>
        <w:t xml:space="preserve"> (“ASU No. 2024-03”), which requires more detailed disclosures about specified categories of expenses included in certain expense captions presented on the face of the consolidated statements of operations and comprehensive loss, including employee compensation, depreciation and amortization. ASU No. 2024-03 is effective for fiscal years beginning after December 15, 2026, and for interim periods within fiscal years beginning after December 15, 2027. Early adoption is permitted. The amendments may be applied either prospectively to financial statements issued for reporting periods after the effective date of the ASU or retrospectively to all prior periods presented. The Company is currently evaluating the impact of the adoption of ASU No. 2024-03 on its consolidated financial statement disclosures.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September 2025, the FASB issued ASU No. 2025-06, </w:t>
      </w:r>
      <w:r>
        <w:rPr>
          <w:rFonts w:ascii="Times New Roman;Times;serif" w:hAnsi="Times New Roman;Times;serif"/>
          <w:i/>
          <w:sz w:val="20"/>
        </w:rPr>
        <w:t>Intangibles – Goodwill and Other – Internal-Use Software (Subtopic 350-40): Targeted Improvements to the Accounting for Internal-Use Software</w:t>
      </w:r>
      <w:r>
        <w:rPr>
          <w:rFonts w:ascii="Times New Roman;Times;serif" w:hAnsi="Times New Roman;Times;serif"/>
          <w:sz w:val="20"/>
        </w:rPr>
        <w:t xml:space="preserve"> (“ASU No. 2025-06”), which amends certain aspects of the accounting for and disclosure of software costs under ASC Subtopic 350-40, </w:t>
      </w:r>
      <w:r>
        <w:rPr>
          <w:rFonts w:ascii="Times New Roman;Times;serif" w:hAnsi="Times New Roman;Times;serif"/>
          <w:i/>
          <w:sz w:val="20"/>
        </w:rPr>
        <w:t>Internal-Use Software</w:t>
      </w:r>
      <w:r>
        <w:rPr>
          <w:rFonts w:ascii="Times New Roman;Times;serif" w:hAnsi="Times New Roman;Times;serif"/>
          <w:sz w:val="20"/>
        </w:rPr>
        <w:t>. The standard is effective for fiscal years beginning after December 15, 2027 and interim periods within fiscal years beginning after December 15, 2027, with early adoption permitted. The amendments may be applied prospectively, retrospectively, or through a modified prospective transition method. The Company is currently evaluating the potential impact of the adoption of ASU No. 2025-06 on its consolidated financial statements.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December 2025, the FASB issued ASU No. 2025-10, </w:t>
      </w:r>
      <w:r>
        <w:rPr>
          <w:rFonts w:ascii="Times New Roman;Times;serif" w:hAnsi="Times New Roman;Times;serif"/>
          <w:i/>
          <w:sz w:val="20"/>
        </w:rPr>
        <w:t xml:space="preserve">Government Grants (Topic 832): Accounting for Government Grants Received by Business Entities </w:t>
      </w:r>
      <w:r>
        <w:rPr>
          <w:rFonts w:ascii="Times New Roman;Times;serif" w:hAnsi="Times New Roman;Times;serif"/>
          <w:sz w:val="20"/>
        </w:rPr>
        <w:t xml:space="preserve">(“ASU No. 2025-10”), which establishes authoritative guidance on the recognition, measurement, presentation, and disclosure of government grants. ASU No. 2025-10 is effective for fiscal years beginning after December 15, 2028, including interim periods within those fiscal years, with early adoption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permitted. The Company is currently evaluating the impact of adopting ASU No. 2025-10 on its consolidated financial statements and related disclosures.</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bookmarkStart w:id="623" w:name="_fff1ee50_236a_4f2d_a7c7_c8de58913b43_3"/>
      <w:bookmarkStart w:id="624" w:name="_fff1ee50_236a_4f2d_a7c7_c8de58913b43_2"/>
      <w:bookmarkStart w:id="625" w:name="_fff1ee50_236a_4f2d_a7c7_c8de58913b43"/>
      <w:bookmarkEnd w:id="623"/>
      <w:bookmarkEnd w:id="624"/>
      <w:bookmarkEnd w:id="625"/>
      <w:r>
        <w:rPr>
          <w:rFonts w:ascii="Times New Roman;Times;serif" w:hAnsi="Times New Roman;Times;serif"/>
          <w:b/>
          <w:sz w:val="20"/>
        </w:rPr>
        <w:t>3. Fair value of financial assets and liabilities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Financial assets and liabilities carried at fair value are to be classified and disclosed in one of the following three levels of the fair value hierarchy, of which the first two are considered observable and the last is considered unobservable: Level 1, quoted prices in active markets for identical assets or liabilities; Level 2,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 Level 3, unobservable inputs that are supported by little or no market activity that are significant to determining the fair value of the assets or liabilities, including pricing models, discounted cash flow methodologies and similar techniques.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carrying values of cash, cash equivalents and restricted cash, research and development incentives receivable, prepaid expenses and other current assets, accounts payable and accrued expenses and other current liabilities approximate their fair values due to the short-term nature of these assets and liabilities.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cash equivalents and restricted cash</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considers all highly liquid investments that are readily convertible to known amounts of cash with original maturities of three months or less at the date of purchase to be cash equivalents. As of June 30, 2026 and December 31, 2025, the Company had cash equivalents of $359.4 million and $364.2 million, respectively, consisting of money market funds, which are considered Level 1 assets. As of each of June 30, 2026 and December 31, 2025, there were no other assets or liabilities measured at fair value on a recurring basis.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of </w:t>
      </w:r>
      <w:r>
        <w:rPr>
          <w:rFonts w:ascii="Times New Roman;Times;serif" w:hAnsi="Times New Roman;Times;serif"/>
          <w:b w:val="false"/>
          <w:i w:val="false"/>
          <w:caps w:val="false"/>
          <w:smallCaps w:val="false"/>
          <w:sz w:val="20"/>
        </w:rPr>
        <w:t>December 31, 2025</w:t>
      </w:r>
      <w:r>
        <w:rPr>
          <w:rFonts w:ascii="Times New Roman;Times;serif" w:hAnsi="Times New Roman;Times;serif"/>
          <w:sz w:val="20"/>
        </w:rPr>
        <w:t>, the Company had $0.5 million of restricted cash related to a collateralized letter of credit in connection with the Company’s lease for office and laboratory space in Cambridge, Massachusetts that expired in March 2026, which is included within prepaid expenses and other current assets in the Company’s condensed consolidated balance sheet as of December 31, 2025.</w:t>
      </w:r>
    </w:p>
    <w:p>
      <w:pPr>
        <w:pStyle w:val="TextBody"/>
        <w:bidi w:val="0"/>
        <w:spacing w:before="0" w:after="240"/>
        <w:ind w:left="0" w:right="0" w:hanging="0"/>
        <w:jc w:val="left"/>
        <w:rPr>
          <w:rFonts w:ascii="Times New Roman;Times;serif" w:hAnsi="Times New Roman;Times;serif"/>
          <w:b/>
          <w:sz w:val="20"/>
        </w:rPr>
      </w:pPr>
      <w:bookmarkStart w:id="626" w:name="Tc_iXMqcrmNi0aYigHW2cMq8w_10_5"/>
      <w:bookmarkStart w:id="627" w:name="Tc_GNE2mMJLfEml08p7loWnKA_10_2"/>
      <w:bookmarkStart w:id="628" w:name="Tc_ZFwDDIGgOECHixZfhElORQ_9_0"/>
      <w:bookmarkStart w:id="629" w:name="Tc_uHKeAOnpOEGdgsn2u3xyyg_7_0"/>
      <w:bookmarkStart w:id="630" w:name="Tc_Fy4pUWZCLES5hKiGstooJQ_6_0"/>
      <w:bookmarkStart w:id="631" w:name="Tc_YUZGW79YMkebVIWTOnFeGQ_5_0"/>
      <w:bookmarkStart w:id="632" w:name="Tc_kMTo9zF28U6clguCKq-9mA_4_0"/>
      <w:bookmarkStart w:id="633" w:name="Tc_TZEbnyjWEEirJDpQe75qJw_3_5"/>
      <w:bookmarkStart w:id="634" w:name="Tc_mP0RH7lqeEa8wIpXCXHesw_3_2"/>
      <w:bookmarkStart w:id="635" w:name="Tc_KUQVV78ZLkOb1tcOSGYDHg_3_0"/>
      <w:bookmarkStart w:id="636" w:name="Tc_Xa5weWi2pE6h_P5324oSQw_2_5"/>
      <w:bookmarkStart w:id="637" w:name="Tc_vZImGrwOEEaB9rYI6jttag_2_2"/>
      <w:bookmarkStart w:id="638" w:name="Tc_hGYOwi8fCE-rI0Sxtxo8-A_1_5"/>
      <w:bookmarkStart w:id="639" w:name="Tc_xkI4wcFaMEiPBJ4UIC-C6g_1_2"/>
      <w:bookmarkStart w:id="640" w:name="_6f839053_189a_421a_b3a3_9fac4a67f12c"/>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r>
        <w:rPr>
          <w:rFonts w:ascii="Times New Roman;Times;serif" w:hAnsi="Times New Roman;Times;serif"/>
          <w:b/>
          <w:sz w:val="20"/>
        </w:rPr>
        <w:t>4. Property and equipment, net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Property and equipment, net consisted of the following (in thousands):</w:t>
      </w:r>
    </w:p>
    <w:p>
      <w:pPr>
        <w:pStyle w:val="TextBody"/>
        <w:bidi w:val="0"/>
        <w:spacing w:before="0" w:after="240"/>
        <w:ind w:left="0" w:right="0" w:hanging="0"/>
        <w:jc w:val="left"/>
        <w:rPr/>
      </w:pPr>
      <w:r>
        <w:rPr/>
        <w:t>​</w:t>
      </w:r>
    </w:p>
    <w:tbl>
      <w:tblPr>
        <w:tblW w:w="6995" w:type="dxa"/>
        <w:jc w:val="left"/>
        <w:tblInd w:w="0" w:type="dxa"/>
        <w:tblLayout w:type="fixed"/>
        <w:tblCellMar>
          <w:top w:w="0" w:type="dxa"/>
          <w:left w:w="0" w:type="dxa"/>
          <w:bottom w:w="0" w:type="dxa"/>
          <w:right w:w="0" w:type="dxa"/>
        </w:tblCellMar>
      </w:tblPr>
      <w:tblGrid>
        <w:gridCol w:w="4156"/>
        <w:gridCol w:w="346"/>
        <w:gridCol w:w="211"/>
        <w:gridCol w:w="796"/>
        <w:gridCol w:w="346"/>
        <w:gridCol w:w="228"/>
        <w:gridCol w:w="912"/>
      </w:tblGrid>
      <w:tr>
        <w:trPr/>
        <w:tc>
          <w:tcPr>
            <w:tcW w:w="4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9710" cy="175260"/>
                      <wp:effectExtent l="0" t="0" r="0" b="0"/>
                      <wp:wrapNone/>
                      <wp:docPr id="63" name="Frame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33985" cy="175260"/>
                      <wp:effectExtent l="0" t="0" r="0" b="0"/>
                      <wp:wrapNone/>
                      <wp:docPr id="64" name="Frame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505460" cy="175260"/>
                      <wp:effectExtent l="0" t="0" r="0" b="0"/>
                      <wp:wrapNone/>
                      <wp:docPr id="65" name="Frame6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175260"/>
                      <wp:effectExtent l="0" t="0" r="0" b="0"/>
                      <wp:wrapNone/>
                      <wp:docPr id="66" name="Frame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44780" cy="175260"/>
                      <wp:effectExtent l="0" t="0" r="0" b="0"/>
                      <wp:wrapNone/>
                      <wp:docPr id="67" name="Frame67"/>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579120" cy="175260"/>
                      <wp:effectExtent l="0" t="0" r="0" b="0"/>
                      <wp:wrapNone/>
                      <wp:docPr id="68" name="Frame68"/>
                      <a:graphic xmlns:a="http://schemas.openxmlformats.org/drawingml/2006/main">
                        <a:graphicData uri="http://schemas.microsoft.com/office/word/2010/wordprocessingShape">
                          <wps:wsp>
                            <wps:cNvSpPr txBox="1"/>
                            <wps:spPr>
                              <a:xfrm>
                                <a:off x="0" y="0"/>
                                <a:ext cx="579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4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Laboratory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17,472</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17,564</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12,414</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 </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12,031</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right-of-use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1,089</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1,106</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Computer equipment and software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687</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 </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and office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853</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864</w:t>
            </w:r>
          </w:p>
        </w:tc>
      </w:tr>
      <w:tr>
        <w:trPr/>
        <w:tc>
          <w:tcPr>
            <w:tcW w:w="4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32,515</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 </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32,199</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(27,820)</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(26,178)</w:t>
            </w:r>
          </w:p>
        </w:tc>
      </w:tr>
      <w:tr>
        <w:trPr/>
        <w:tc>
          <w:tcPr>
            <w:tcW w:w="4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4,695</w:t>
            </w:r>
          </w:p>
        </w:tc>
        <w:tc>
          <w:tcPr>
            <w:tcW w:w="346" w:type="dxa"/>
            <w:tcBorders/>
            <w:vAlign w:val="center"/>
          </w:tcPr>
          <w:p>
            <w:pPr>
              <w:pStyle w:val="TableContents"/>
              <w:bidi w:val="0"/>
              <w:spacing w:before="0" w:after="0"/>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6,021</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Depreciation and amortization expense was $1.1 million and $2.2 million for the three and six months ended June 30, 2026, respectively, and $1.7 million and $3.3 million for the three and six months ended June 30, 2025, respectively. Depreciation and amortization expense included amortization expense related to property and equipment obtained under finance leases of $0.1 million and $0.1 million for the three and six months ended June 30, 2026, respectively, and $0.1 million and $0.1 million for the three and six months ended June 30, 2025, respectively. </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641" w:name="Tc_xJNjYEGcgEqiKryka0C_lQ_9_5"/>
      <w:bookmarkStart w:id="642" w:name="Tc_M4ggVIP0tUKItARJWuvo7Q_9_2"/>
      <w:bookmarkStart w:id="643" w:name="Tc_vgTF-V07YEm_PrXu4la0Fg_8_0"/>
      <w:bookmarkStart w:id="644" w:name="Tc_kbmGxg_GLUyXSabhFmK6-Q_5_0"/>
      <w:bookmarkStart w:id="645" w:name="Tc_8JNqlmcdVUCljbJ2h07CmQ_4_0"/>
      <w:bookmarkStart w:id="646" w:name="Tc_Qs2vVTlDr0uqxSc88BRZVg_3_5"/>
      <w:bookmarkStart w:id="647" w:name="Tc_V_xOK7hk5Ue89Rn0hSq2oQ_3_2"/>
      <w:bookmarkStart w:id="648" w:name="Tc_FRcb7O2wtU2ZBufKLA9EoQ_3_0"/>
      <w:bookmarkStart w:id="649" w:name="Tc_NhC0Ick-MUmtP8TwXgV_ig_2_5"/>
      <w:bookmarkStart w:id="650" w:name="Tc_F6eOd5qRNU2LxouIrj_48A_2_2"/>
      <w:bookmarkStart w:id="651" w:name="Tc_YcxFhxltBkG-7FGLvIJJzQ_1_5"/>
      <w:bookmarkStart w:id="652" w:name="Tc_bTSDUQ8cUUKXhzgp5ltsfw_1_2"/>
      <w:bookmarkStart w:id="653" w:name="_b8975ec7_b99a_4491_9624_16500f2c2b83"/>
      <w:bookmarkEnd w:id="641"/>
      <w:bookmarkEnd w:id="642"/>
      <w:bookmarkEnd w:id="643"/>
      <w:bookmarkEnd w:id="644"/>
      <w:bookmarkEnd w:id="645"/>
      <w:bookmarkEnd w:id="646"/>
      <w:bookmarkEnd w:id="647"/>
      <w:bookmarkEnd w:id="648"/>
      <w:bookmarkEnd w:id="649"/>
      <w:bookmarkEnd w:id="650"/>
      <w:bookmarkEnd w:id="651"/>
      <w:bookmarkEnd w:id="652"/>
      <w:bookmarkEnd w:id="653"/>
      <w:r>
        <w:rPr>
          <w:rFonts w:ascii="Times New Roman;Times;serif" w:hAnsi="Times New Roman;Times;serif"/>
          <w:b/>
          <w:sz w:val="20"/>
        </w:rPr>
        <w:t>5. Accrued expenses and other current liabilities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Accrued expenses and other current liabilities consisted of the following (in thousands):</w:t>
      </w:r>
    </w:p>
    <w:p>
      <w:pPr>
        <w:pStyle w:val="TextBody"/>
        <w:bidi w:val="0"/>
        <w:spacing w:before="0" w:after="240"/>
        <w:ind w:left="0" w:right="0" w:firstLine="720"/>
        <w:jc w:val="left"/>
        <w:rPr/>
      </w:pPr>
      <w:r>
        <w:rPr/>
        <w:t>​</w:t>
      </w:r>
    </w:p>
    <w:tbl>
      <w:tblPr>
        <w:tblW w:w="7160" w:type="dxa"/>
        <w:jc w:val="left"/>
        <w:tblInd w:w="0" w:type="dxa"/>
        <w:tblLayout w:type="fixed"/>
        <w:tblCellMar>
          <w:top w:w="0" w:type="dxa"/>
          <w:left w:w="0" w:type="dxa"/>
          <w:bottom w:w="0" w:type="dxa"/>
          <w:right w:w="0" w:type="dxa"/>
        </w:tblCellMar>
      </w:tblPr>
      <w:tblGrid>
        <w:gridCol w:w="4441"/>
        <w:gridCol w:w="346"/>
        <w:gridCol w:w="211"/>
        <w:gridCol w:w="676"/>
        <w:gridCol w:w="346"/>
        <w:gridCol w:w="240"/>
        <w:gridCol w:w="900"/>
      </w:tblGrid>
      <w:tr>
        <w:trPr/>
        <w:tc>
          <w:tcPr>
            <w:tcW w:w="44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19710" cy="175260"/>
                      <wp:effectExtent l="0" t="0" r="0" b="0"/>
                      <wp:wrapNone/>
                      <wp:docPr id="69" name="Frame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3985" cy="175260"/>
                      <wp:effectExtent l="0" t="0" r="0" b="0"/>
                      <wp:wrapNone/>
                      <wp:docPr id="70" name="Frame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429260" cy="175260"/>
                      <wp:effectExtent l="0" t="0" r="0" b="0"/>
                      <wp:wrapNone/>
                      <wp:docPr id="71" name="Frame7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9710" cy="175260"/>
                      <wp:effectExtent l="0" t="0" r="0" b="0"/>
                      <wp:wrapNone/>
                      <wp:docPr id="72" name="Frame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52400" cy="175260"/>
                      <wp:effectExtent l="0" t="0" r="0" b="0"/>
                      <wp:wrapNone/>
                      <wp:docPr id="73" name="Frame73"/>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71500" cy="175260"/>
                      <wp:effectExtent l="0" t="0" r="0" b="0"/>
                      <wp:wrapNone/>
                      <wp:docPr id="74" name="Frame74"/>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4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44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employee compensation and benefits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10,003</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17,000</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external research and development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25,699</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9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20,493</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professional fees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2,251</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9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3,969</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portion of operating lease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770</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9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2,551</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portion of finance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9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w:t>
            </w:r>
          </w:p>
        </w:tc>
        <w:tc>
          <w:tcPr>
            <w:tcW w:w="346" w:type="dxa"/>
            <w:tcBorders/>
            <w:vAlign w:val="center"/>
          </w:tcPr>
          <w:p>
            <w:pPr>
              <w:pStyle w:val="TableContents"/>
              <w:bidi w:val="0"/>
              <w:spacing w:before="0" w:after="1"/>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w:t>
            </w:r>
          </w:p>
        </w:tc>
      </w:tr>
      <w:tr>
        <w:trPr/>
        <w:tc>
          <w:tcPr>
            <w:tcW w:w="444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39,094</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44,354</w:t>
            </w:r>
          </w:p>
        </w:tc>
      </w:tr>
    </w:tbl>
    <w:p>
      <w:pPr>
        <w:pStyle w:val="TextBody"/>
        <w:bidi w:val="0"/>
        <w:spacing w:before="0" w:after="240"/>
        <w:ind w:left="0" w:right="0" w:firstLine="720"/>
        <w:jc w:val="left"/>
        <w:rPr/>
      </w:pPr>
      <w:r>
        <w:rPr/>
        <w:t>​</w:t>
      </w:r>
    </w:p>
    <w:p>
      <w:pPr>
        <w:pStyle w:val="TextBody"/>
        <w:bidi w:val="0"/>
        <w:spacing w:lineRule="auto" w:line="240"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In March 2026, the Company announced the strategic reprioritization of its clinical portfolio to focus on its promising pipeline of next-generation therapeutics, including nuzefatide pevedotin (formerly BT5528), as well as next-generation Bicycle conjugates, including Bicycle Radioconjugates (“BRC</w:t>
      </w:r>
      <w:r>
        <w:rPr>
          <w:rFonts w:ascii="Times New Roman;Times;serif" w:hAnsi="Times New Roman;Times;serif"/>
          <w:sz w:val="15"/>
          <w:shd w:fill="FFFFFF" w:val="clear"/>
        </w:rPr>
        <w:t>®</w:t>
      </w:r>
      <w:r>
        <w:rPr>
          <w:rFonts w:ascii="Times New Roman;Times;serif" w:hAnsi="Times New Roman;Times;serif"/>
          <w:sz w:val="20"/>
          <w:shd w:fill="FFFFFF" w:val="clear"/>
        </w:rPr>
        <w:t>” molecules). In conjunction with the strategic reprioritization, the Company announced a workforce reduction of approximately 30% of its workforce (the “March 2026 Workforce Reduction”). The Company expects the March 2026 Workforce Reduction to be substantially completed by the end of 2026 and to recognize aggregate charges for severance and other employee termination benefits of approximately $6.5 million. During the three and six months ended June 30, 2026, the Company recognized expenses related to severance and other employee termination benefits of $1.3 million and $5.5 million, respectively, of which $0.9 million and $4.2 million, respectively, were included in research and development expenses and $0.4 million and $1.3 million, respectively, were included in general and administrative expenses in the Company’s condensed consolidated statements of operations and comprehensive loss. Of the charges recognized during the six months ended June 30, 2026, $3.3 million represented cash expenditure for severance and other employee termination benefits paid during the period, and the remaining $2.2 million in unpaid severance and other employee benefits are included in accrued employee compensation and benefits within accrued expenses and other current liabilities in the Company’s condensed consolidated balance sheet as of June 30, 2026. In addition, the Company recognized $0.6 million and $3.9 million in external research and development expenses for contract termination costs during the three and six months ended June 30, 2026, respectively, all of which were paid during the six months ended June 30, 2026.</w:t>
      </w:r>
    </w:p>
    <w:p>
      <w:pPr>
        <w:pStyle w:val="TextBody"/>
        <w:bidi w:val="0"/>
        <w:spacing w:before="0" w:after="240"/>
        <w:ind w:left="0" w:right="0" w:firstLine="720"/>
        <w:jc w:val="left"/>
        <w:rPr>
          <w:shd w:fill="FFFFFF" w:val="clear"/>
        </w:rPr>
      </w:pPr>
      <w:r>
        <w:rPr>
          <w:shd w:fill="FFFFFF" w:val="clear"/>
        </w:rPr>
        <w:t>​</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In August 2025, the Company announced cost reduction initiatives to reduce planned operating costs, primarily through a workforce reduction, which was substantially completed during the year ended December 31, 2025 (the “August 2025 Workforce Reduction”). As of December 31, 2025, the Company had a remaining liability of $0.3 million related to unpaid severance and other employee termination benefits associated with the August 2025 Workforce Reduction, all of which were paid during the six months ended June 30, 2026.</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6. Ordinary shares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Company’s ordinary shares are divided into two classes: (i) ordinary shares and (ii) non-voting ordinary shares. Each holder of ordinary shares is entitled to one vote per ordinary share and to receive dividends when and if such dividends are recommended by the board of directors and declared by the shareholders. Holders of American Depositary Shares (“ADSs”) are not treated as holders of the Company’s ordinary shares, unless they withdraw the ordinary shares underlying their ADSs in accordance with the deposit agreement and applicable laws and regulations. The depositary is the holder of the ordinary shares underlying the ADSs. Holders of ADSs therefore do not have any rights as holders of the Company’s ordinary shares, other than the rights that they have pursuant to the deposit agreement with the depositary.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non-voting ordinary shares have the same rights and restrictions as the ordinary shares and otherwise rank </w:t>
      </w:r>
      <w:r>
        <w:rPr>
          <w:rFonts w:ascii="Times New Roman;Times;serif" w:hAnsi="Times New Roman;Times;serif"/>
          <w:i/>
          <w:sz w:val="20"/>
        </w:rPr>
        <w:t>pari passu</w:t>
      </w:r>
      <w:r>
        <w:rPr>
          <w:rFonts w:ascii="Times New Roman;Times;serif" w:hAnsi="Times New Roman;Times;serif"/>
          <w:sz w:val="20"/>
        </w:rPr>
        <w:t xml:space="preserve"> in all respects with the ordinary shares except for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non-voting ordinary shares shall, in relation to the non-voting ordinary shares held, have no right to receive notice of, or to attend or vote at, any general meeting of shareholders save in relation to a variation of class rights of the non-voting ordinary shares;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non-voting ordinary shares shall be re-designated as ordinary shares by the Company’s board of directors, or a duly authorized committee or representative thereof, upon receipt of a re-designation notice and otherwise subject to the terms and conditions set out in the terms of issue. A holder of non-voting ordinary shares shall not be entitled to have any non-voting ordinary shares re-designated as ordinary shares where such re-designation would result in such holder thereof beneficially owning (for purposes of section 13(d) of the Exchange Act), when aggregated with “affiliates” and “group” members with whom such holder is required to aggregate beneficial ownership for the purposes of section 13(d) of the Exchange Act, in excess of 9.99% of any class of the Company’s securities registered under the Exchange Act (which percentage may be increased or decreased on a holder-by-holder basis subject to the provisions set out in the terms of issue);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non-voting ordinary shares shall be re-designated as ordinary shares automatically upon transfer of a non-voting ordinary share by its holder to any person that is not an “affiliate” or “group” member with whom such holder is required to aggregate beneficial ownership for purposes of section 13(d) of the Exchange Act. This automatic re-designation shall only be in respect of the non-voting ordinary shares that are subject to such transfer.</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June 30, 2026 and December 31, 2025, the Company had not declared any dividends.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of June 30, 2026 and December 31, 2025, the Company’s authorized share capital consisted of 163,361,109 and 159,685,229 ordinary shares, respectively, including ordinary shares and non-voting ordinary shares, with a nominal value of £0.01 per share. Authorized share capital, or shares authorized, comprises (i) the currently issued and outstanding ordinary shares and non-voting ordinary shares, (ii) the remaining ordinary shares available for allotment under the existing authority granted to the Board at the annual general meeting held on May 16, 2024, (iii) ordinary shares issuable on the exercise of outstanding options and settlement of vested restricted share units (“RSUs”) and (iv) ordinary shares reserved for issuance under the Bicycle Therapeutics plc 2024 Inducement Plan (the “2024 Inducement Plan”), the Bicycle Therapeutics plc 2020 Equity Incentive Plan (as amended from time to time, the “2020 Plan”) and/or the Bicycle Therapeutics plc 2019 Employee Share Purchase Plan (the “ESPP”). </w:t>
      </w:r>
    </w:p>
    <w:p>
      <w:pPr>
        <w:pStyle w:val="TextBody"/>
        <w:bidi w:val="0"/>
        <w:spacing w:before="0" w:after="24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June 30, 2026, there were 50,376,201 ordinary shares issued and outstanding and 19,437,944 non-voting ordinary shares issued and outstanding.</w:t>
      </w:r>
    </w:p>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7. Share-based compensation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Equity plans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2024 Inducement Plan</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val="false"/>
          <w:caps w:val="false"/>
          <w:smallCaps w:val="false"/>
          <w:sz w:val="20"/>
        </w:rPr>
        <w:t xml:space="preserve">In July 2024, the Company’s board of directors approved the 2024 Inducement Plan. </w:t>
      </w:r>
      <w:r>
        <w:rPr>
          <w:rFonts w:ascii="Times New Roman;Times;serif" w:hAnsi="Times New Roman;Times;serif"/>
          <w:i w:val="false"/>
          <w:caps w:val="false"/>
          <w:smallCaps w:val="false"/>
          <w:sz w:val="20"/>
          <w:shd w:fill="FFFFFF" w:val="clear"/>
        </w:rPr>
        <w:t xml:space="preserve">The 2024 Inducement Plan allows for the granting of nonqualified share options, RSUs, and other equity awards under the plan to persons not previously an employee or director of the Company, or following a bona fide period of non-employment, as an inducement material to such persons entering into employment with the Company. </w:t>
      </w:r>
      <w:r>
        <w:rPr>
          <w:rFonts w:ascii="Times New Roman;Times;serif" w:hAnsi="Times New Roman;Times;serif"/>
          <w:i w:val="false"/>
          <w:caps w:val="false"/>
          <w:smallCaps w:val="false"/>
          <w:sz w:val="20"/>
        </w:rPr>
        <w:t>Share options granted under the 2024 Inducement Plan have a 10-year</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contractual life and generally vest over a four-year</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service period with 25%</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of the award vesting on the first anniversary of the vesting commencement date and the balance thereafter in 36</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equal monthly installments.</w:t>
      </w:r>
      <w:r>
        <w:rPr>
          <w:rFonts w:ascii="Times New Roman;Times;serif" w:hAnsi="Times New Roman;Times;serif"/>
          <w:i/>
          <w:caps w:val="false"/>
          <w:smallCaps w:val="false"/>
          <w:sz w:val="20"/>
          <w:shd w:fill="FFFFFF" w:val="clear"/>
        </w:rPr>
        <w:t xml:space="preserve"> </w:t>
      </w:r>
      <w:r>
        <w:rPr>
          <w:rFonts w:ascii="Times New Roman;Times;serif" w:hAnsi="Times New Roman;Times;serif"/>
          <w:i w:val="false"/>
          <w:caps w:val="false"/>
          <w:smallCaps w:val="false"/>
          <w:sz w:val="20"/>
        </w:rPr>
        <w:t>In the event of a change of control of the Company, as defined in the 2024 Inducement Plan, any outstanding awards under the 2024 Inducement Plan will vest in full immediately prior to such change of control.</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val="false"/>
          <w:caps w:val="false"/>
          <w:smallCaps w:val="false"/>
          <w:sz w:val="20"/>
          <w:shd w:fill="FFFFFF" w:val="clear"/>
        </w:rPr>
        <w:t>The Company initially reserved 1,500,000</w:t>
      </w:r>
      <w:r>
        <w:rPr>
          <w:rFonts w:ascii="Times New Roman;Times;serif" w:hAnsi="Times New Roman;Times;serif"/>
          <w:i/>
          <w:caps w:val="false"/>
          <w:smallCaps w:val="false"/>
          <w:sz w:val="20"/>
          <w:shd w:fill="FFFFFF" w:val="clear"/>
        </w:rPr>
        <w:t xml:space="preserve"> </w:t>
      </w:r>
      <w:r>
        <w:rPr>
          <w:rFonts w:ascii="Times New Roman;Times;serif" w:hAnsi="Times New Roman;Times;serif"/>
          <w:i w:val="false"/>
          <w:caps w:val="false"/>
          <w:smallCaps w:val="false"/>
          <w:sz w:val="20"/>
          <w:shd w:fill="FFFFFF" w:val="clear"/>
        </w:rPr>
        <w:t>of its ordinary shares, or the equivalent number of ADSs, for the issuance of awards under the 2024 Inducement Plan. As of June 30, 2026, there were 1,092,894</w:t>
      </w:r>
      <w:r>
        <w:rPr>
          <w:rFonts w:ascii="Times New Roman;Times;serif" w:hAnsi="Times New Roman;Times;serif"/>
          <w:i/>
          <w:caps w:val="false"/>
          <w:smallCaps w:val="false"/>
          <w:sz w:val="20"/>
          <w:shd w:fill="FFFFFF" w:val="clear"/>
        </w:rPr>
        <w:t xml:space="preserve"> </w:t>
      </w:r>
      <w:r>
        <w:rPr>
          <w:rFonts w:ascii="Times New Roman;Times;serif" w:hAnsi="Times New Roman;Times;serif"/>
          <w:i w:val="false"/>
          <w:caps w:val="false"/>
          <w:smallCaps w:val="false"/>
          <w:sz w:val="20"/>
          <w:shd w:fill="FFFFFF" w:val="clear"/>
        </w:rPr>
        <w:t>shares available for future issuance under the 2024 Inducement Plan.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June 30, 2026, there were options to purchase 407,106 shares outstanding under the 2024 Inducement Plan.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2020 Equity Incentive Plan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June 2020, the Company’s shareholders first approved the 2020 Plan, under which the Company may grant market value options, market value share appreciation rights or restricted shares, RSUs, performance RSUs and other share-based awards to the Company’s employees. The Company’s non-employee directors and consultants are eligible to receive awards under the 2020 Non-Employee Sub-Plan to the 2020 Plan. All awards under the 2020 Plan, including the 2020 Non-Employee Sub-Plan, will be set forth in award agreements, which will detail the terms and conditions of awards, including any applicable vesting and payment terms, change of control provisions and post-termination exercise limitations. In the event of a change of control of the Company, as defined in the 2020 Plan, any outstanding awards under the 2020 Plan will vest in full immediately prior to such change of control.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ordinary shares reserved for future issuance under the 2020 Plan includes shares subject to option contracts that were granted under the Company’s 2019 Share Option Plan (the “2019 Plan”), and those that were granted prior to the Company’s initial public offering (“IPO”), that may become available for issuance if all or any part of an option contract expires, lapses or is terminated, exchanged for cash, surrendered, repurchased or cancelled without having been fully exercised or is withheld to satisfy a tax withholding obligation or to satisfy a purchase or exercise price of an option. The number of ordinary shares reserved for issuance pursuant to the 2020 Plan will automatically increase on January 1 of each year through (and including) January 1, 2032, in an amount equal to 5% of the Company’s total issued share capital outstanding on the last day of the preceding year, or a lesser number of shares determined by the Company’s board of directors (the “Evergreen Increase”). Pursuant to the Evergreen Increase, on January 1, 2026, the number of ordinary shares reserved for issuance under the 2020 Plan was increased by 3,468,394 shares. As of June 30, 2026, there were 3,067,827 ordinary shares available for issuance under the 2020 Plan.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Share options granted under the 2020 Plan have a 10-year contractual life and generally vest over either (i) a four-year service period with 25% of the award vesting on the first anniversary of the vesting commencement date and the balance thereafter in 36 equal monthly installments for employees and consultants, or (ii) a three-year service period in three equal annual installments for new non-employee director grants. Certain options granted to the Company’s non-employee directors vest over a one-year service period in four equal quarterly installments.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grants RSUs to certain employees, non-employee directors and consultants under the 2020 Plan. Each RSU represents the right to receive one of the Company’s ordinary shares upon vesting. RSUs granted to employees and consultants vest over a four-year service period with 25% of the award vesting on the first anniversary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654" w:name="Tc_379mvdQDdUqs65tejQV5Hw_6_11"/>
      <w:bookmarkStart w:id="655" w:name="Tc_Mri2dR8eBE2UJO8cEzh2oQ_6_8"/>
      <w:bookmarkStart w:id="656" w:name="Tc_Q4sy3OKvxUifaZiDzN-XRA_6_5"/>
      <w:bookmarkStart w:id="657" w:name="Tc_sujTODy8mUSQiwGWDj7B9A_6_2"/>
      <w:bookmarkStart w:id="658" w:name="Tc_1rY2L__mn0q6FnNvxCCj1A_5_0"/>
      <w:bookmarkStart w:id="659" w:name="Tc_aVS94BoZDkW-Vm_PeiD-zg_4_11"/>
      <w:bookmarkStart w:id="660" w:name="Tc_xsk73QhJB02WKZeGbuD1vg_4_8"/>
      <w:bookmarkStart w:id="661" w:name="Tc_Y-hOgbU-qEq2D_zN9xeANw_4_5"/>
      <w:bookmarkStart w:id="662" w:name="Tc_HtO3anIOoUeqjYADluHOkA_4_2"/>
      <w:bookmarkStart w:id="663" w:name="Tc_m5kIxfKj5kmFHtnSGRIG7Q_4_0"/>
      <w:bookmarkStart w:id="664" w:name="Tc_mR8sj2WA1U26Gx4wCIrDKQ_3_11"/>
      <w:bookmarkStart w:id="665" w:name="Tc_JyTlGve3N0K24E8eelgO5w_3_8"/>
      <w:bookmarkStart w:id="666" w:name="Tc_JsLLWwp_W0yadebNDWVRHQ_3_5"/>
      <w:bookmarkStart w:id="667" w:name="Tc_NADHU4V5okWT-M5BRPAFQg_3_2"/>
      <w:bookmarkStart w:id="668" w:name="Tc_cc0woqszRUmb-KdlRuphzA_2_8"/>
      <w:bookmarkStart w:id="669" w:name="Tc_0_OLdOqwhEmcfrNJQGb1cg_2_2"/>
      <w:bookmarkStart w:id="670" w:name="Tc_UICwxWULwEuj1eHPIQvqsQ_1_8"/>
      <w:bookmarkStart w:id="671" w:name="Tc_C8fpCXYlPEKwT9EvQ0cmDA_1_2"/>
      <w:bookmarkStart w:id="672" w:name="_387413cf_751a_4f10_a67b_1165667ee087"/>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r>
        <w:rPr>
          <w:rFonts w:ascii="Times New Roman;Times;serif" w:hAnsi="Times New Roman;Times;serif"/>
          <w:sz w:val="20"/>
        </w:rPr>
        <w:t xml:space="preserve">the vesting commencement date and the remaining RSUs vesting in 12 equal quarterly installments. RSUs granted to the Company’s non-employee directors either vest over a three-year service period in three equal annual installments for new non-employee director grants or over a one-year service period in four equal quarterly installments. The Company may also, in its sole discretion, provide for deferred settlement of RSUs granted to the Company’s non-employee directors.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June 30, 2026, there were options to purchase 8,150,177 shares outstanding and RSUs for 2,667,305 shares outstanding under the 2020 Plan.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2019 Share Option Plan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May 2019, the Company adopted the 2019 Plan, which became effective in conjunction with the IPO. As of June 30, 2026, there were options to purchase 1,691,608 shares outstanding under the 2019 Plan. In conjunction with the adoption of the 2020 Plan, all shares available for future issuance under the 2019 Plan as of June 29, 2020 became available for issuance under the 2020 Plan and the Company ceased granting awards under the 2019 Plan. The 2020 Plan is the successor of the 2019 Plan.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Share options previously issued under the 2019 Plan have a 10-year contractual life, and generally either vest monthly over a three-year service period, or over a four-year service period with 25% of the award vesting on the first anniversary of the commencement date and the balance thereafter in 36 equal monthly installments. Certain awards granted to the Company’s non-employee directors were fully vested on the date of grant. The exercise price of share options issued under the 2019 Plan is not less than the fair value of ordinary shares as of the date of grant.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Employee Share Purchase Plan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May 2019, the Company adopted the ESPP, which became effective in conjunction with the IPO. The Company initially reserved 215,000 ordinary shares for future issuance under this plan. The ESPP provides that the number of shares reserved and available for issuance will automatically increase on January 1 of each year through (and including) January 1, 2029, by the lower of: (i) 1% of the outstanding number of ordinary shares on the immediately preceding December 31; (ii) 430,000 ordinary shares or (iii) such lesser number of shares as determined by the Compensation Committee. The number of shares reserved under the ESPP is subject to adjustment in the event of a split-up, share dividend or other change in the Company’s capitalization. The number of shares reserved for issuance under the ESPP was increased by 430,000 shares effective January 1, 2026. As of June 30, 2026, the total number of shares available for issuance under the ESPP was 2,437,671 ordinary shares. As of June 30, 2026, there have been no offering periods to employees under ESPP.</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Share-based compensation</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recorded share-based compensation expense in the following expense categories of its condensed consolidated statements of operations and comprehensive loss (in thousands):</w:t>
      </w:r>
    </w:p>
    <w:p>
      <w:pPr>
        <w:pStyle w:val="TextBody"/>
        <w:bidi w:val="0"/>
        <w:spacing w:before="0" w:after="240"/>
        <w:ind w:left="0" w:right="0" w:hanging="0"/>
        <w:jc w:val="left"/>
        <w:rPr/>
      </w:pPr>
      <w:r>
        <w:rPr/>
        <w:t>​</w:t>
      </w:r>
    </w:p>
    <w:tbl>
      <w:tblPr>
        <w:tblW w:w="7918" w:type="dxa"/>
        <w:jc w:val="left"/>
        <w:tblInd w:w="0" w:type="dxa"/>
        <w:tblLayout w:type="fixed"/>
        <w:tblCellMar>
          <w:top w:w="0" w:type="dxa"/>
          <w:left w:w="0" w:type="dxa"/>
          <w:bottom w:w="0" w:type="dxa"/>
          <w:right w:w="0" w:type="dxa"/>
        </w:tblCellMar>
      </w:tblPr>
      <w:tblGrid>
        <w:gridCol w:w="3091"/>
        <w:gridCol w:w="346"/>
        <w:gridCol w:w="211"/>
        <w:gridCol w:w="571"/>
        <w:gridCol w:w="346"/>
        <w:gridCol w:w="211"/>
        <w:gridCol w:w="571"/>
        <w:gridCol w:w="346"/>
        <w:gridCol w:w="211"/>
        <w:gridCol w:w="676"/>
        <w:gridCol w:w="346"/>
        <w:gridCol w:w="211"/>
        <w:gridCol w:w="781"/>
      </w:tblGrid>
      <w:tr>
        <w:trPr/>
        <w:tc>
          <w:tcPr>
            <w:tcW w:w="3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9710" cy="175260"/>
                      <wp:effectExtent l="0" t="0" r="0" b="0"/>
                      <wp:wrapNone/>
                      <wp:docPr id="75" name="Frame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33985" cy="175260"/>
                      <wp:effectExtent l="0" t="0" r="0" b="0"/>
                      <wp:wrapNone/>
                      <wp:docPr id="76" name="Frame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362585" cy="175260"/>
                      <wp:effectExtent l="0" t="0" r="0" b="0"/>
                      <wp:wrapNone/>
                      <wp:docPr id="77" name="Frame7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19710" cy="175260"/>
                      <wp:effectExtent l="0" t="0" r="0" b="0"/>
                      <wp:wrapNone/>
                      <wp:docPr id="78" name="Frame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33985" cy="175260"/>
                      <wp:effectExtent l="0" t="0" r="0" b="0"/>
                      <wp:wrapNone/>
                      <wp:docPr id="79" name="Frame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362585" cy="175260"/>
                      <wp:effectExtent l="0" t="0" r="0" b="0"/>
                      <wp:wrapNone/>
                      <wp:docPr id="80" name="Frame8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19710" cy="175260"/>
                      <wp:effectExtent l="0" t="0" r="0" b="0"/>
                      <wp:wrapNone/>
                      <wp:docPr id="81" name="Frame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33985" cy="175260"/>
                      <wp:effectExtent l="0" t="0" r="0" b="0"/>
                      <wp:wrapNone/>
                      <wp:docPr id="82" name="Frame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429260" cy="175260"/>
                      <wp:effectExtent l="0" t="0" r="0" b="0"/>
                      <wp:wrapNone/>
                      <wp:docPr id="83" name="Frame8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19710" cy="175260"/>
                      <wp:effectExtent l="0" t="0" r="0" b="0"/>
                      <wp:wrapNone/>
                      <wp:docPr id="84" name="Frame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33985" cy="175260"/>
                      <wp:effectExtent l="0" t="0" r="0" b="0"/>
                      <wp:wrapNone/>
                      <wp:docPr id="85" name="Frame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495935" cy="175260"/>
                      <wp:effectExtent l="0" t="0" r="0" b="0"/>
                      <wp:wrapNone/>
                      <wp:docPr id="86" name="Frame8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222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22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8,505</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7,761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10,535</w:t>
            </w:r>
          </w:p>
        </w:tc>
      </w:tr>
      <w:tr>
        <w:trPr/>
        <w:tc>
          <w:tcPr>
            <w:tcW w:w="30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19,040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bookmarkStart w:id="673" w:name="Tc_UOVSEOf0YUyvXGZ4ihHW2A_7_0"/>
      <w:bookmarkStart w:id="674" w:name="Tc_-uQJh6KkykSzLediVSHTXg_6_9"/>
      <w:bookmarkStart w:id="675" w:name="Tc_1-TDv6fya0efzjo9x5cJAg_6_7"/>
      <w:bookmarkStart w:id="676" w:name="Tc_JLm65NVjH0iGLkPRE4XU2Q_6_4"/>
      <w:bookmarkStart w:id="677" w:name="Tc_8wlG3LarREG7ODDsMGpZMA_6_2"/>
      <w:bookmarkStart w:id="678" w:name="Tc_6eBYySD71UqDj47nzs3fhw_6_0"/>
      <w:bookmarkStart w:id="679" w:name="Tc_m_Km8xvZyEeukKnG1HKNzw_5_10"/>
      <w:bookmarkStart w:id="680" w:name="Tc_s4C-iMsmgk6QfPjU9EVMrA_5_8"/>
      <w:bookmarkStart w:id="681" w:name="Tc_feZPtuif-EW3bC_CQ9AXcQ_5_5"/>
      <w:bookmarkStart w:id="682" w:name="Tc_nnFR4cD1JkyJDgLZYLs3PQ_5_3"/>
      <w:bookmarkStart w:id="683" w:name="Tc_rZSZfYaSAk286KQDafnrxg_5_0"/>
      <w:bookmarkStart w:id="684" w:name="Tc_kGmLlEpObkeK-_fxRdm1ig_4_10"/>
      <w:bookmarkStart w:id="685" w:name="Tc_onoHJa7-iEq23vuNQsLxoA_4_8"/>
      <w:bookmarkStart w:id="686" w:name="Tc_qb5RRV3m8UGy9geMa4yrXA_4_5"/>
      <w:bookmarkStart w:id="687" w:name="Tc_obR8jtWxd0GUUcQ59rnVrQ_4_3"/>
      <w:bookmarkStart w:id="688" w:name="Tc_A1WJA1DbVEiae5qBLQWuNw_4_0"/>
      <w:bookmarkStart w:id="689" w:name="Tc_7nq0pEY0Y0GLTo7SpTk7Wg_3_9"/>
      <w:bookmarkStart w:id="690" w:name="Tc_iEzS_8taLkypohoibjep1w_3_7"/>
      <w:bookmarkStart w:id="691" w:name="Tc_9U6oBYAQf0O3vaP-vG9l2Q_3_4"/>
      <w:bookmarkStart w:id="692" w:name="Tc_io2h-Dl2zUqTy-mOwOnnHQ_3_2"/>
      <w:bookmarkStart w:id="693" w:name="Tc_51pGTrO5D0mZNaNMelet6w_2_7"/>
      <w:bookmarkStart w:id="694" w:name="Tc_Ai0CLjpqtkCnqTp83_kV5A_2_2"/>
      <w:bookmarkStart w:id="695" w:name="Tc_uB3ft4nKs0GLR_WjXRq8uw_1_7"/>
      <w:bookmarkStart w:id="696" w:name="Tc_xRFI6xmTK0mteBUtDtzcxQ_1_2"/>
      <w:bookmarkStart w:id="697" w:name="Tc_cqzm4oILz0OqI62a61b4sA_12_9"/>
      <w:bookmarkStart w:id="698" w:name="Tc_HGSHpS6njUmUAco6kBVrGQ_12_4"/>
      <w:bookmarkStart w:id="699" w:name="Tc_UJGoX5gYmUSpnN59UNAtXg_12_0"/>
      <w:bookmarkStart w:id="700" w:name="Tc_aN2LO8sbmkmcElA5NpZ9pA_11_9"/>
      <w:bookmarkStart w:id="701" w:name="Tc_iJIgndjoQUeP9M-zouG79Q_11_4"/>
      <w:bookmarkStart w:id="702" w:name="Tc_l0wa9CC66kW-DjVB8qtnkw_11_0"/>
      <w:bookmarkStart w:id="703" w:name="Tc_yD77S3yaAkG3_71YgSk7aA_10_9"/>
      <w:bookmarkStart w:id="704" w:name="Tc_jbyCWTAjtkCh9OM3ZBE_EQ_10_4"/>
      <w:bookmarkStart w:id="705" w:name="Tc_eO1xc8VLrkeUs1nLefLvwg_10_0"/>
      <w:bookmarkStart w:id="706" w:name="Tc_qq8C8WESBkarJU_Wnm8ZmA_9_10"/>
      <w:bookmarkStart w:id="707" w:name="Tc_cdvAlPKtdUO7W_GO9GnMTg_9_7"/>
      <w:bookmarkStart w:id="708" w:name="Tc_jn6jflSdoE6B2oAgaxI-cg_9_0"/>
      <w:bookmarkStart w:id="709" w:name="Tc_ipkM4zvuhkmmEqZkRzcV-g_8_10"/>
      <w:bookmarkStart w:id="710" w:name="Tc_zlGtYCn6jUyh2ncna7Mtig_8_7"/>
      <w:bookmarkStart w:id="711" w:name="Tc_PI5UIse9CE-F1dXzUilVMg_8_0"/>
      <w:bookmarkStart w:id="712" w:name="Tc_rC8uqismX0SCBx6zFHdZDw_7_10"/>
      <w:bookmarkStart w:id="713" w:name="Tc_zc3oUgC370KrvDb6_Hscww_7_7"/>
      <w:bookmarkStart w:id="714" w:name="Tc_nCG9-Ey15ECpikypx2MfqQ_7_0"/>
      <w:bookmarkStart w:id="715" w:name="Tc_4Yb-n6Jpr0Wpfy1KFekLYw_6_9"/>
      <w:bookmarkStart w:id="716" w:name="Tc_yw_D_2ShpEafRZ_0PgydjQ_6_4"/>
      <w:bookmarkStart w:id="717" w:name="Tc_dp_aBqH-PkCpm3vGRoLmYg_6_0"/>
      <w:bookmarkStart w:id="718" w:name="Tc_gRdrZNXCZ0m87yJUsjHiQw_5_9"/>
      <w:bookmarkStart w:id="719" w:name="Tc_3nV5EmnOUkasGdsG5trC2Q_5_7"/>
      <w:bookmarkStart w:id="720" w:name="Tc_c_84x0uihE-8tGL5gEXNJw_4_9"/>
      <w:bookmarkStart w:id="721" w:name="Tc_TmgqiLIU9EqTAemcAqqnEQ_4_7"/>
      <w:bookmarkStart w:id="722" w:name="Tc_XzUpdcei6UWtVF1RN9Gy3A_4_4"/>
      <w:bookmarkStart w:id="723" w:name="Tc_mHP3P50TN0yZW3a2beD7ZQ_4_2"/>
      <w:bookmarkStart w:id="724" w:name="Tc_oZgjDQYXaEehYzYYlf_Slw_3_9"/>
      <w:bookmarkStart w:id="725" w:name="Tc_C6yTX3ueeE2j0v4SOhpn1A_3_7"/>
      <w:bookmarkStart w:id="726" w:name="Tc_jK_jF--n8k-900tgBH8rFg_3_4"/>
      <w:bookmarkStart w:id="727" w:name="Tc_cvWHdanzMUyqCinEDQEvhg_3_2"/>
      <w:bookmarkStart w:id="728" w:name="Tc_yChgRglEF0yfWA60Kjm9UA_2_9"/>
      <w:bookmarkStart w:id="729" w:name="Tc_LW03z_8cCUCNVtjlLwf98w_2_7"/>
      <w:bookmarkStart w:id="730" w:name="Tc_GgG_IQlQBEyk05wn0c2GsA_2_4"/>
      <w:bookmarkStart w:id="731" w:name="Tc_E2TUfbo8dEaGyG20ngw4eg_2_2"/>
      <w:bookmarkStart w:id="732" w:name="Tc_BeBrxrpa80yH1yXD5BNsQw_1_7"/>
      <w:bookmarkStart w:id="733" w:name="Tc_WUGyuhWMX0iIF87__Hxr3Q_1_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r>
        <w:rPr>
          <w:rFonts w:ascii="Times New Roman;Times;serif" w:hAnsi="Times New Roman;Times;serif"/>
          <w:i/>
          <w:sz w:val="20"/>
        </w:rPr>
        <w:t>Share options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Company’s option activity since December 31, 2025:</w:t>
      </w:r>
    </w:p>
    <w:p>
      <w:pPr>
        <w:pStyle w:val="TextBody"/>
        <w:bidi w:val="0"/>
        <w:spacing w:before="0" w:after="240"/>
        <w:ind w:left="0" w:right="0" w:firstLine="720"/>
        <w:jc w:val="left"/>
        <w:rPr/>
      </w:pPr>
      <w:r>
        <w:rPr/>
        <w:t>​</w:t>
      </w:r>
    </w:p>
    <w:tbl>
      <w:tblPr>
        <w:tblW w:w="9803" w:type="dxa"/>
        <w:jc w:val="left"/>
        <w:tblInd w:w="0" w:type="dxa"/>
        <w:tblLayout w:type="fixed"/>
        <w:tblCellMar>
          <w:top w:w="0" w:type="dxa"/>
          <w:left w:w="0" w:type="dxa"/>
          <w:bottom w:w="0" w:type="dxa"/>
          <w:right w:w="0" w:type="dxa"/>
        </w:tblCellMar>
      </w:tblPr>
      <w:tblGrid>
        <w:gridCol w:w="3991"/>
        <w:gridCol w:w="346"/>
        <w:gridCol w:w="1141"/>
        <w:gridCol w:w="346"/>
        <w:gridCol w:w="302"/>
        <w:gridCol w:w="824"/>
        <w:gridCol w:w="346"/>
        <w:gridCol w:w="991"/>
        <w:gridCol w:w="346"/>
        <w:gridCol w:w="277"/>
        <w:gridCol w:w="893"/>
      </w:tblGrid>
      <w:tr>
        <w:trPr/>
        <w:tc>
          <w:tcPr>
            <w:tcW w:w="3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534285" cy="175260"/>
                      <wp:effectExtent l="0" t="0" r="0" b="0"/>
                      <wp:wrapNone/>
                      <wp:docPr id="87" name="Frame87"/>
                      <a:graphic xmlns:a="http://schemas.openxmlformats.org/drawingml/2006/main">
                        <a:graphicData uri="http://schemas.microsoft.com/office/word/2010/wordprocessingShape">
                          <wps:wsp>
                            <wps:cNvSpPr txBox="1"/>
                            <wps:spPr>
                              <a:xfrm>
                                <a:off x="0" y="0"/>
                                <a:ext cx="2534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19710" cy="175260"/>
                      <wp:effectExtent l="0" t="0" r="0" b="0"/>
                      <wp:wrapNone/>
                      <wp:docPr id="88" name="Frame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724535" cy="175260"/>
                      <wp:effectExtent l="0" t="0" r="0" b="0"/>
                      <wp:wrapNone/>
                      <wp:docPr id="89" name="Frame89"/>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19710" cy="175260"/>
                      <wp:effectExtent l="0" t="0" r="0" b="0"/>
                      <wp:wrapNone/>
                      <wp:docPr id="90" name="Frame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91770" cy="175260"/>
                      <wp:effectExtent l="0" t="0" r="0" b="0"/>
                      <wp:wrapNone/>
                      <wp:docPr id="91" name="Frame91"/>
                      <a:graphic xmlns:a="http://schemas.openxmlformats.org/drawingml/2006/main">
                        <a:graphicData uri="http://schemas.microsoft.com/office/word/2010/wordprocessingShape">
                          <wps:wsp>
                            <wps:cNvSpPr txBox="1"/>
                            <wps:spPr>
                              <a:xfrm>
                                <a:off x="0" y="0"/>
                                <a:ext cx="191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523240" cy="175260"/>
                      <wp:effectExtent l="0" t="0" r="0" b="0"/>
                      <wp:wrapNone/>
                      <wp:docPr id="92" name="Frame92"/>
                      <a:graphic xmlns:a="http://schemas.openxmlformats.org/drawingml/2006/main">
                        <a:graphicData uri="http://schemas.microsoft.com/office/word/2010/wordprocessingShape">
                          <wps:wsp>
                            <wps:cNvSpPr txBox="1"/>
                            <wps:spPr>
                              <a:xfrm>
                                <a:off x="0" y="0"/>
                                <a:ext cx="523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19710" cy="175260"/>
                      <wp:effectExtent l="0" t="0" r="0" b="0"/>
                      <wp:wrapNone/>
                      <wp:docPr id="93" name="Frame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29285" cy="175260"/>
                      <wp:effectExtent l="0" t="0" r="0" b="0"/>
                      <wp:wrapNone/>
                      <wp:docPr id="94" name="Frame94"/>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19710" cy="175260"/>
                      <wp:effectExtent l="0" t="0" r="0" b="0"/>
                      <wp:wrapNone/>
                      <wp:docPr id="95" name="Frame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75895" cy="175260"/>
                      <wp:effectExtent l="0" t="0" r="0" b="0"/>
                      <wp:wrapNone/>
                      <wp:docPr id="96" name="Frame96"/>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567055" cy="175260"/>
                      <wp:effectExtent l="0" t="0" r="0" b="0"/>
                      <wp:wrapNone/>
                      <wp:docPr id="97" name="Frame97"/>
                      <a:graphic xmlns:a="http://schemas.openxmlformats.org/drawingml/2006/main">
                        <a:graphicData uri="http://schemas.microsoft.com/office/word/2010/wordprocessingShape">
                          <wps:wsp>
                            <wps:cNvSpPr txBox="1"/>
                            <wps:spPr>
                              <a:xfrm>
                                <a:off x="0" y="0"/>
                                <a:ext cx="5670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w:t>
            </w:r>
          </w:p>
        </w:tc>
        <w:tc>
          <w:tcPr>
            <w:tcW w:w="82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893" w:type="dxa"/>
            <w:tcBorders/>
            <w:vAlign w:val="center"/>
          </w:tcPr>
          <w:p>
            <w:pPr>
              <w:pStyle w:val="TableContents"/>
              <w:bidi w:val="0"/>
              <w:spacing w:before="0" w:after="1"/>
              <w:ind w:left="0" w:right="0" w:hanging="0"/>
              <w:jc w:val="center"/>
              <w:rPr/>
            </w:pPr>
            <w:r>
              <w:rPr/>
              <w:t>​</w:t>
            </w:r>
          </w:p>
        </w:tc>
      </w:tr>
      <w:tr>
        <w:trPr/>
        <w:tc>
          <w:tcPr>
            <w:tcW w:w="39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left"/>
              <w:rPr/>
            </w:pPr>
            <w:r>
              <w:rPr/>
              <w:t>​</w:t>
            </w:r>
          </w:p>
        </w:tc>
        <w:tc>
          <w:tcPr>
            <w:tcW w:w="11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left"/>
              <w:rPr/>
            </w:pPr>
            <w:r>
              <w:rPr/>
              <w:t>​</w:t>
            </w:r>
          </w:p>
        </w:tc>
        <w:tc>
          <w:tcPr>
            <w:tcW w:w="11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39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Underlying</w:t>
            </w:r>
          </w:p>
        </w:tc>
        <w:tc>
          <w:tcPr>
            <w:tcW w:w="346" w:type="dxa"/>
            <w:tcBorders/>
            <w:vAlign w:val="center"/>
          </w:tcPr>
          <w:p>
            <w:pPr>
              <w:pStyle w:val="TableContents"/>
              <w:bidi w:val="0"/>
              <w:spacing w:before="0" w:after="1"/>
              <w:ind w:left="0" w:right="0" w:hanging="0"/>
              <w:jc w:val="left"/>
              <w:rPr/>
            </w:pPr>
            <w:r>
              <w:rPr/>
              <w:t>​</w:t>
            </w:r>
          </w:p>
        </w:tc>
        <w:tc>
          <w:tcPr>
            <w:tcW w:w="11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346" w:type="dxa"/>
            <w:tcBorders/>
            <w:vAlign w:val="center"/>
          </w:tcPr>
          <w:p>
            <w:pPr>
              <w:pStyle w:val="TableContents"/>
              <w:bidi w:val="0"/>
              <w:spacing w:before="0" w:after="1"/>
              <w:ind w:left="0" w:right="0" w:hanging="0"/>
              <w:jc w:val="left"/>
              <w:rPr/>
            </w:pPr>
            <w:r>
              <w:rPr/>
              <w:t>​</w:t>
            </w:r>
          </w:p>
        </w:tc>
        <w:tc>
          <w:tcPr>
            <w:tcW w:w="11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39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 Options</w:t>
            </w:r>
          </w:p>
        </w:tc>
        <w:tc>
          <w:tcPr>
            <w:tcW w:w="346" w:type="dxa"/>
            <w:tcBorders/>
            <w:vAlign w:val="center"/>
          </w:tcPr>
          <w:p>
            <w:pPr>
              <w:pStyle w:val="TableContents"/>
              <w:bidi w:val="0"/>
              <w:spacing w:before="0" w:after="1"/>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346" w:type="dxa"/>
            <w:tcBorders/>
            <w:vAlign w:val="center"/>
          </w:tcPr>
          <w:p>
            <w:pPr>
              <w:pStyle w:val="TableContents"/>
              <w:bidi w:val="0"/>
              <w:spacing w:before="0" w:after="1"/>
              <w:ind w:left="0" w:right="0" w:hanging="0"/>
              <w:jc w:val="left"/>
              <w:rPr/>
            </w:pPr>
            <w:r>
              <w:rPr/>
              <w:t>  ​ ​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Term</w:t>
            </w:r>
          </w:p>
        </w:tc>
        <w:tc>
          <w:tcPr>
            <w:tcW w:w="346" w:type="dxa"/>
            <w:tcBorders/>
            <w:vAlign w:val="center"/>
          </w:tcPr>
          <w:p>
            <w:pPr>
              <w:pStyle w:val="TableContents"/>
              <w:bidi w:val="0"/>
              <w:spacing w:before="0" w:after="1"/>
              <w:ind w:left="0" w:right="0" w:hanging="0"/>
              <w:jc w:val="left"/>
              <w:rPr/>
            </w:pPr>
            <w:r>
              <w:rPr/>
              <w:t>  ​ ​ ​</w:t>
            </w:r>
          </w:p>
        </w:tc>
        <w:tc>
          <w:tcPr>
            <w:tcW w:w="11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9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w:t>
            </w:r>
          </w:p>
        </w:tc>
        <w:tc>
          <w:tcPr>
            <w:tcW w:w="82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years)</w:t>
            </w:r>
          </w:p>
        </w:tc>
        <w:tc>
          <w:tcPr>
            <w:tcW w:w="346" w:type="dxa"/>
            <w:tcBorders/>
            <w:vAlign w:val="center"/>
          </w:tcPr>
          <w:p>
            <w:pPr>
              <w:pStyle w:val="TableContents"/>
              <w:bidi w:val="0"/>
              <w:spacing w:before="0" w:after="1"/>
              <w:ind w:left="0" w:right="0" w:hanging="0"/>
              <w:jc w:val="left"/>
              <w:rPr/>
            </w:pPr>
            <w:r>
              <w:rPr/>
              <w:t>​</w:t>
            </w:r>
          </w:p>
        </w:tc>
        <w:tc>
          <w:tcPr>
            <w:tcW w:w="11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9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as of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9,803,106</w:t>
            </w:r>
          </w:p>
        </w:tc>
        <w:tc>
          <w:tcPr>
            <w:tcW w:w="34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20.40</w:t>
            </w:r>
          </w:p>
        </w:tc>
        <w:tc>
          <w:tcPr>
            <w:tcW w:w="34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6.22</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2,680</w:t>
            </w:r>
          </w:p>
        </w:tc>
      </w:tr>
      <w:tr>
        <w:trPr/>
        <w:tc>
          <w:tcPr>
            <w:tcW w:w="39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1,388,944</w:t>
            </w:r>
          </w:p>
        </w:tc>
        <w:tc>
          <w:tcPr>
            <w:tcW w:w="34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 </w:t>
            </w:r>
          </w:p>
        </w:tc>
        <w:tc>
          <w:tcPr>
            <w:tcW w:w="8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6.92</w:t>
            </w:r>
          </w:p>
        </w:tc>
        <w:tc>
          <w:tcPr>
            <w:tcW w:w="34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893" w:type="dxa"/>
            <w:tcBorders/>
            <w:vAlign w:val="center"/>
          </w:tcPr>
          <w:p>
            <w:pPr>
              <w:pStyle w:val="TableContents"/>
              <w:bidi w:val="0"/>
              <w:spacing w:before="0" w:after="1"/>
              <w:ind w:left="0" w:right="0" w:hanging="0"/>
              <w:jc w:val="right"/>
              <w:rPr/>
            </w:pPr>
            <w:r>
              <w:rPr/>
              <w:t>—</w:t>
            </w:r>
          </w:p>
        </w:tc>
      </w:tr>
      <w:tr>
        <w:trPr/>
        <w:tc>
          <w:tcPr>
            <w:tcW w:w="39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(6,781)</w:t>
            </w:r>
          </w:p>
        </w:tc>
        <w:tc>
          <w:tcPr>
            <w:tcW w:w="34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pPr>
            <w:r>
              <w:rPr/>
              <w:t> </w:t>
            </w:r>
          </w:p>
        </w:tc>
        <w:tc>
          <w:tcPr>
            <w:tcW w:w="8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w:t>
            </w:r>
          </w:p>
        </w:tc>
        <w:tc>
          <w:tcPr>
            <w:tcW w:w="34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893" w:type="dxa"/>
            <w:tcBorders/>
            <w:shd w:fill="CCEEFF" w:val="clear"/>
            <w:vAlign w:val="center"/>
          </w:tcPr>
          <w:p>
            <w:pPr>
              <w:pStyle w:val="TableContents"/>
              <w:bidi w:val="0"/>
              <w:spacing w:before="0" w:after="1"/>
              <w:ind w:left="0" w:right="0" w:hanging="0"/>
              <w:jc w:val="right"/>
              <w:rPr/>
            </w:pPr>
            <w:r>
              <w:rPr/>
              <w:t>—</w:t>
            </w:r>
          </w:p>
        </w:tc>
      </w:tr>
      <w:tr>
        <w:trPr/>
        <w:tc>
          <w:tcPr>
            <w:tcW w:w="39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(439,401)</w:t>
            </w:r>
          </w:p>
        </w:tc>
        <w:tc>
          <w:tcPr>
            <w:tcW w:w="34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 </w:t>
            </w:r>
          </w:p>
        </w:tc>
        <w:tc>
          <w:tcPr>
            <w:tcW w:w="8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16.29</w:t>
            </w:r>
          </w:p>
        </w:tc>
        <w:tc>
          <w:tcPr>
            <w:tcW w:w="34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893" w:type="dxa"/>
            <w:tcBorders/>
            <w:vAlign w:val="center"/>
          </w:tcPr>
          <w:p>
            <w:pPr>
              <w:pStyle w:val="TableContents"/>
              <w:bidi w:val="0"/>
              <w:spacing w:before="0" w:after="1"/>
              <w:ind w:left="0" w:right="0" w:hanging="0"/>
              <w:jc w:val="right"/>
              <w:rPr/>
            </w:pPr>
            <w:r>
              <w:rPr/>
              <w:t>—</w:t>
            </w:r>
          </w:p>
        </w:tc>
      </w:tr>
      <w:tr>
        <w:trPr/>
        <w:tc>
          <w:tcPr>
            <w:tcW w:w="39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as of June 30, 2026</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10,745,868</w:t>
            </w:r>
          </w:p>
        </w:tc>
        <w:tc>
          <w:tcPr>
            <w:tcW w:w="34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18.85</w:t>
            </w:r>
          </w:p>
        </w:tc>
        <w:tc>
          <w:tcPr>
            <w:tcW w:w="34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5.90</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1,534</w:t>
            </w:r>
          </w:p>
        </w:tc>
      </w:tr>
      <w:tr>
        <w:trPr/>
        <w:tc>
          <w:tcPr>
            <w:tcW w:w="39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 and expected to vest as of June 30, 2026</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10,745,868</w:t>
            </w:r>
          </w:p>
        </w:tc>
        <w:tc>
          <w:tcPr>
            <w:tcW w:w="34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18.85</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5.90</w:t>
            </w:r>
          </w:p>
        </w:tc>
        <w:tc>
          <w:tcPr>
            <w:tcW w:w="3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1,534</w:t>
            </w:r>
          </w:p>
        </w:tc>
      </w:tr>
      <w:tr>
        <w:trPr/>
        <w:tc>
          <w:tcPr>
            <w:tcW w:w="39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Options exercisable as of June 30, 2026</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7,563,424</w:t>
            </w:r>
          </w:p>
        </w:tc>
        <w:tc>
          <w:tcPr>
            <w:tcW w:w="34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21.49</w:t>
            </w:r>
          </w:p>
        </w:tc>
        <w:tc>
          <w:tcPr>
            <w:tcW w:w="34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4.74</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1,534</w:t>
            </w:r>
          </w:p>
        </w:tc>
      </w:tr>
    </w:tbl>
    <w:p>
      <w:pPr>
        <w:pStyle w:val="TextBody"/>
        <w:bidi w:val="0"/>
        <w:spacing w:before="0" w:after="24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weighted average grant date fair value of share options granted during the six months ended June 30, 2026 and 2025 was $4.55 per share and $8.89 per share, respectively.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aggregate intrinsic value of share options is calculated as the difference between the exercise price of the share options and the fair value of the Company’s ordinary shares. The aggregate intrinsic value of share options exercised was $13,553 and $29,067 for the three and six months ended June 30, 2026, respectively, and zero for each of the three and six months ended June 30, 2025, respectively.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recorded share-based compensation expense for share options granted of $3.9 million and $8.3 million for the three and six months ended June 30, 2026, respectively, and $6.8 million and $13.6 million for the three and six months ended June 30, 2025, respectively.</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presents, on a weighted average basis, the assumptions used in the Black-Scholes option-pricing model to determine the fair value of share options granted to employees and directors:</w:t>
      </w:r>
    </w:p>
    <w:p>
      <w:pPr>
        <w:pStyle w:val="TextBody"/>
        <w:bidi w:val="0"/>
        <w:spacing w:before="0" w:after="240"/>
        <w:ind w:left="0" w:right="0" w:hanging="0"/>
        <w:jc w:val="left"/>
        <w:rPr/>
      </w:pPr>
      <w:r>
        <w:rPr/>
        <w:t>​</w:t>
      </w:r>
    </w:p>
    <w:tbl>
      <w:tblPr>
        <w:tblW w:w="6276" w:type="dxa"/>
        <w:jc w:val="left"/>
        <w:tblInd w:w="0" w:type="dxa"/>
        <w:tblLayout w:type="fixed"/>
        <w:tblCellMar>
          <w:top w:w="0" w:type="dxa"/>
          <w:left w:w="0" w:type="dxa"/>
          <w:bottom w:w="0" w:type="dxa"/>
          <w:right w:w="0" w:type="dxa"/>
        </w:tblCellMar>
      </w:tblPr>
      <w:tblGrid>
        <w:gridCol w:w="2131"/>
        <w:gridCol w:w="346"/>
        <w:gridCol w:w="578"/>
        <w:gridCol w:w="448"/>
        <w:gridCol w:w="578"/>
        <w:gridCol w:w="361"/>
        <w:gridCol w:w="109"/>
        <w:gridCol w:w="508"/>
        <w:gridCol w:w="393"/>
        <w:gridCol w:w="508"/>
        <w:gridCol w:w="316"/>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353185" cy="175260"/>
                      <wp:effectExtent l="0" t="0" r="0" b="0"/>
                      <wp:wrapNone/>
                      <wp:docPr id="98" name="Frame98"/>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19710" cy="175260"/>
                      <wp:effectExtent l="0" t="0" r="0" b="0"/>
                      <wp:wrapNone/>
                      <wp:docPr id="99" name="Frame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367030" cy="175260"/>
                      <wp:effectExtent l="0" t="0" r="0" b="0"/>
                      <wp:wrapNone/>
                      <wp:docPr id="100" name="Frame100"/>
                      <a:graphic xmlns:a="http://schemas.openxmlformats.org/drawingml/2006/main">
                        <a:graphicData uri="http://schemas.microsoft.com/office/word/2010/wordprocessingShape">
                          <wps:wsp>
                            <wps:cNvSpPr txBox="1"/>
                            <wps:spPr>
                              <a:xfrm>
                                <a:off x="0" y="0"/>
                                <a:ext cx="367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84480" cy="175260"/>
                      <wp:effectExtent l="0" t="0" r="0" b="0"/>
                      <wp:wrapNone/>
                      <wp:docPr id="101" name="Frame101"/>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367030" cy="175260"/>
                      <wp:effectExtent l="0" t="0" r="0" b="0"/>
                      <wp:wrapNone/>
                      <wp:docPr id="102" name="Frame102"/>
                      <a:graphic xmlns:a="http://schemas.openxmlformats.org/drawingml/2006/main">
                        <a:graphicData uri="http://schemas.microsoft.com/office/word/2010/wordprocessingShape">
                          <wps:wsp>
                            <wps:cNvSpPr txBox="1"/>
                            <wps:spPr>
                              <a:xfrm>
                                <a:off x="0" y="0"/>
                                <a:ext cx="367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29235" cy="175260"/>
                      <wp:effectExtent l="0" t="0" r="0" b="0"/>
                      <wp:wrapNone/>
                      <wp:docPr id="103" name="Frame10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9215" cy="175260"/>
                      <wp:effectExtent l="0" t="0" r="0" b="0"/>
                      <wp:wrapNone/>
                      <wp:docPr id="104" name="Frame1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322580" cy="175260"/>
                      <wp:effectExtent l="0" t="0" r="0" b="0"/>
                      <wp:wrapNone/>
                      <wp:docPr id="105" name="Frame105"/>
                      <a:graphic xmlns:a="http://schemas.openxmlformats.org/drawingml/2006/main">
                        <a:graphicData uri="http://schemas.microsoft.com/office/word/2010/wordprocessingShape">
                          <wps:wsp>
                            <wps:cNvSpPr txBox="1"/>
                            <wps:spPr>
                              <a:xfrm>
                                <a:off x="0" y="0"/>
                                <a:ext cx="3225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49555" cy="175260"/>
                      <wp:effectExtent l="0" t="0" r="0" b="0"/>
                      <wp:wrapNone/>
                      <wp:docPr id="106" name="Frame106"/>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322580" cy="175260"/>
                      <wp:effectExtent l="0" t="0" r="0" b="0"/>
                      <wp:wrapNone/>
                      <wp:docPr id="107" name="Frame107"/>
                      <a:graphic xmlns:a="http://schemas.openxmlformats.org/drawingml/2006/main">
                        <a:graphicData uri="http://schemas.microsoft.com/office/word/2010/wordprocessingShape">
                          <wps:wsp>
                            <wps:cNvSpPr txBox="1"/>
                            <wps:spPr>
                              <a:xfrm>
                                <a:off x="0" y="0"/>
                                <a:ext cx="3225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0660" cy="175260"/>
                      <wp:effectExtent l="0" t="0" r="0" b="0"/>
                      <wp:wrapNone/>
                      <wp:docPr id="108" name="Frame10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04"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09"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w:t>
            </w:r>
          </w:p>
        </w:tc>
        <w:tc>
          <w:tcPr>
            <w:tcW w:w="316" w:type="dxa"/>
            <w:tcBorders/>
            <w:vAlign w:val="center"/>
          </w:tcPr>
          <w:p>
            <w:pPr>
              <w:pStyle w:val="TableContents"/>
              <w:bidi w:val="0"/>
              <w:spacing w:before="0" w:after="1"/>
              <w:ind w:left="0" w:right="0" w:hanging="0"/>
              <w:jc w:val="left"/>
              <w:rPr/>
            </w:pPr>
            <w:r>
              <w:rPr/>
              <w:t> </w:t>
            </w:r>
          </w:p>
        </w:tc>
      </w:tr>
      <w:tr>
        <w:trPr/>
        <w:tc>
          <w:tcPr>
            <w:tcW w:w="21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04"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09"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16" w:type="dxa"/>
            <w:tcBorders/>
            <w:vAlign w:val="center"/>
          </w:tcPr>
          <w:p>
            <w:pPr>
              <w:pStyle w:val="TableContents"/>
              <w:bidi w:val="0"/>
              <w:spacing w:before="0" w:after="1"/>
              <w:ind w:left="0" w:right="0" w:hanging="0"/>
              <w:jc w:val="left"/>
              <w:rPr/>
            </w:pPr>
            <w:r>
              <w:rPr/>
              <w:t> </w:t>
            </w:r>
          </w:p>
        </w:tc>
      </w:tr>
      <w:tr>
        <w:trPr/>
        <w:tc>
          <w:tcPr>
            <w:tcW w:w="21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57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48" w:type="dxa"/>
            <w:tcBorders/>
            <w:vAlign w:val="center"/>
          </w:tcPr>
          <w:p>
            <w:pPr>
              <w:pStyle w:val="TableContents"/>
              <w:bidi w:val="0"/>
              <w:spacing w:before="0" w:after="1"/>
              <w:ind w:left="0" w:right="0" w:hanging="0"/>
              <w:jc w:val="left"/>
              <w:rPr/>
            </w:pPr>
            <w:r>
              <w:rPr/>
              <w:t>  ​ ​ ​</w:t>
            </w:r>
          </w:p>
        </w:tc>
        <w:tc>
          <w:tcPr>
            <w:tcW w:w="57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1"/>
              <w:ind w:left="0" w:right="0" w:hanging="0"/>
              <w:jc w:val="left"/>
              <w:rPr/>
            </w:pPr>
            <w:r>
              <w:rPr/>
              <w:t>  ​ ​ ​</w:t>
            </w:r>
          </w:p>
        </w:tc>
        <w:tc>
          <w:tcPr>
            <w:tcW w:w="109" w:type="dxa"/>
            <w:tcBorders/>
            <w:vAlign w:val="center"/>
          </w:tcPr>
          <w:p>
            <w:pPr>
              <w:pStyle w:val="TableContents"/>
              <w:bidi w:val="0"/>
              <w:spacing w:before="0" w:after="1"/>
              <w:ind w:left="0" w:right="0" w:hanging="0"/>
              <w:jc w:val="left"/>
              <w:rPr/>
            </w:pPr>
            <w:r>
              <w:rPr/>
              <w:t>​</w:t>
            </w:r>
          </w:p>
        </w:tc>
        <w:tc>
          <w:tcPr>
            <w:tcW w:w="50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93" w:type="dxa"/>
            <w:tcBorders/>
            <w:vAlign w:val="center"/>
          </w:tcPr>
          <w:p>
            <w:pPr>
              <w:pStyle w:val="TableContents"/>
              <w:bidi w:val="0"/>
              <w:spacing w:before="0" w:after="1"/>
              <w:ind w:left="0" w:right="0" w:hanging="0"/>
              <w:jc w:val="left"/>
              <w:rPr/>
            </w:pPr>
            <w:r>
              <w:rPr/>
              <w:t>  ​ ​ ​</w:t>
            </w:r>
          </w:p>
        </w:tc>
        <w:tc>
          <w:tcPr>
            <w:tcW w:w="50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16" w:type="dxa"/>
            <w:tcBorders/>
            <w:vAlign w:val="center"/>
          </w:tcPr>
          <w:p>
            <w:pPr>
              <w:pStyle w:val="TableContents"/>
              <w:bidi w:val="0"/>
              <w:spacing w:before="0" w:after="1"/>
              <w:ind w:left="0" w:right="0" w:hanging="0"/>
              <w:jc w:val="left"/>
              <w:rPr/>
            </w:pPr>
            <w:r>
              <w:rPr/>
              <w:t> </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46"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4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5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39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5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46" w:type="dxa"/>
            <w:tcBorders/>
            <w:vAlign w:val="center"/>
          </w:tcPr>
          <w:p>
            <w:pPr>
              <w:pStyle w:val="TableContents"/>
              <w:bidi w:val="0"/>
              <w:spacing w:before="0" w:after="1"/>
              <w:ind w:left="0" w:right="0" w:hanging="0"/>
              <w:jc w:val="left"/>
              <w:rPr/>
            </w:pPr>
            <w:r>
              <w:rPr/>
              <w:t> </w:t>
            </w:r>
          </w:p>
        </w:tc>
        <w:tc>
          <w:tcPr>
            <w:tcW w:w="5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66.2</w:t>
            </w:r>
          </w:p>
        </w:tc>
        <w:tc>
          <w:tcPr>
            <w:tcW w:w="44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5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73.9</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1"/>
              <w:ind w:left="0" w:right="0" w:hanging="0"/>
              <w:jc w:val="left"/>
              <w:rPr/>
            </w:pPr>
            <w:r>
              <w:rPr/>
              <w:t>​</w:t>
            </w:r>
          </w:p>
        </w:tc>
        <w:tc>
          <w:tcPr>
            <w:tcW w:w="5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70.1</w:t>
            </w:r>
          </w:p>
        </w:tc>
        <w:tc>
          <w:tcPr>
            <w:tcW w:w="39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5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74.2</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346"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pPr>
            <w:r>
              <w:rPr/>
              <w:t>—</w:t>
            </w:r>
          </w:p>
        </w:tc>
        <w:tc>
          <w:tcPr>
            <w:tcW w:w="448"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508" w:type="dxa"/>
            <w:tcBorders/>
            <w:shd w:fill="CCEEFF" w:val="clear"/>
            <w:vAlign w:val="center"/>
          </w:tcPr>
          <w:p>
            <w:pPr>
              <w:pStyle w:val="TableContents"/>
              <w:bidi w:val="0"/>
              <w:spacing w:before="0" w:after="1"/>
              <w:ind w:left="0" w:right="0" w:hanging="0"/>
              <w:jc w:val="right"/>
              <w:rPr/>
            </w:pPr>
            <w:r>
              <w:rPr/>
              <w:t>—</w:t>
            </w:r>
          </w:p>
        </w:tc>
        <w:tc>
          <w:tcPr>
            <w:tcW w:w="393" w:type="dxa"/>
            <w:tcBorders/>
            <w:shd w:fill="CCEEFF" w:val="clear"/>
            <w:vAlign w:val="center"/>
          </w:tcPr>
          <w:p>
            <w:pPr>
              <w:pStyle w:val="TableContents"/>
              <w:bidi w:val="0"/>
              <w:spacing w:before="0" w:after="1"/>
              <w:ind w:left="0" w:right="0" w:hanging="0"/>
              <w:jc w:val="left"/>
              <w:rPr/>
            </w:pPr>
            <w:r>
              <w:rPr/>
              <w:t> </w:t>
            </w:r>
          </w:p>
        </w:tc>
        <w:tc>
          <w:tcPr>
            <w:tcW w:w="508"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term (in years)</w:t>
            </w:r>
          </w:p>
        </w:tc>
        <w:tc>
          <w:tcPr>
            <w:tcW w:w="346" w:type="dxa"/>
            <w:tcBorders/>
            <w:vAlign w:val="center"/>
          </w:tcPr>
          <w:p>
            <w:pPr>
              <w:pStyle w:val="TableContents"/>
              <w:bidi w:val="0"/>
              <w:spacing w:before="0" w:after="1"/>
              <w:ind w:left="0" w:right="0" w:hanging="0"/>
              <w:jc w:val="left"/>
              <w:rPr/>
            </w:pPr>
            <w:r>
              <w:rPr/>
              <w:t> </w:t>
            </w:r>
          </w:p>
        </w:tc>
        <w:tc>
          <w:tcPr>
            <w:tcW w:w="5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w:t>
            </w:r>
          </w:p>
        </w:tc>
        <w:tc>
          <w:tcPr>
            <w:tcW w:w="448" w:type="dxa"/>
            <w:tcBorders/>
            <w:vAlign w:val="center"/>
          </w:tcPr>
          <w:p>
            <w:pPr>
              <w:pStyle w:val="TableContents"/>
              <w:bidi w:val="0"/>
              <w:spacing w:before="0" w:after="1"/>
              <w:ind w:left="0" w:right="0" w:hanging="0"/>
              <w:jc w:val="left"/>
              <w:rPr/>
            </w:pPr>
            <w:r>
              <w:rPr/>
              <w:t> </w:t>
            </w:r>
          </w:p>
        </w:tc>
        <w:tc>
          <w:tcPr>
            <w:tcW w:w="5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w:t>
            </w:r>
          </w:p>
        </w:tc>
        <w:tc>
          <w:tcPr>
            <w:tcW w:w="361"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5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w:t>
            </w:r>
          </w:p>
        </w:tc>
        <w:tc>
          <w:tcPr>
            <w:tcW w:w="393" w:type="dxa"/>
            <w:tcBorders/>
            <w:vAlign w:val="center"/>
          </w:tcPr>
          <w:p>
            <w:pPr>
              <w:pStyle w:val="TableContents"/>
              <w:bidi w:val="0"/>
              <w:spacing w:before="0" w:after="1"/>
              <w:ind w:left="0" w:right="0" w:hanging="0"/>
              <w:jc w:val="left"/>
              <w:rPr/>
            </w:pPr>
            <w:r>
              <w:rPr/>
              <w:t> </w:t>
            </w:r>
          </w:p>
        </w:tc>
        <w:tc>
          <w:tcPr>
            <w:tcW w:w="5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w:t>
            </w:r>
          </w:p>
        </w:tc>
        <w:tc>
          <w:tcPr>
            <w:tcW w:w="316"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June 30, 2026, total unrecognized compensation expense related to unvested share options was $23.7 million, which is expected to be recognized over a weighted average period of 2.2 years.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bookmarkStart w:id="734" w:name="Tc_X9_G_zqGMEmYmtNQNU8pjA_12_4"/>
      <w:bookmarkStart w:id="735" w:name="Tc_krNyW4HhhUSoz5Le-HybIg_12_0"/>
      <w:bookmarkStart w:id="736" w:name="Tc_cKWEW9oQc0Wt7hYPTbGbzw_11_0"/>
      <w:bookmarkStart w:id="737" w:name="Tc_Dw2QzWDT5kK1hs0kvtV_uw_10_0"/>
      <w:bookmarkStart w:id="738" w:name="Tc_wVApm4ylykOz33JAK3i15Q_9_0"/>
      <w:bookmarkStart w:id="739" w:name="Tc_l4ExD-vFb0KeneLRu9s6EA_8_0"/>
      <w:bookmarkStart w:id="740" w:name="Tc_ZUZppAc3YEKyzy6SWL7Cgg_7_0"/>
      <w:bookmarkStart w:id="741" w:name="Tc_BWzD90stzE24167xJaR8PQ_6_0"/>
      <w:bookmarkStart w:id="742" w:name="Tc_R6MtXKEfWkiuICEKKuTpyA_5_0"/>
      <w:bookmarkStart w:id="743" w:name="Tc_iAFwmBR0cEiipfpys85XCQ_4_0"/>
      <w:bookmarkStart w:id="744" w:name="Tc_-Jk013m8t0mGFmZY9AMkNw_3_4"/>
      <w:bookmarkStart w:id="745" w:name="Tc_m0gJMBpWt0abkH_ksg_a5g_3_0"/>
      <w:bookmarkStart w:id="746" w:name="Tc_kvfrh74bGk2Ge3xmlNV6sA_2_4"/>
      <w:bookmarkStart w:id="747" w:name="Tc_99foA8iCLUmdUFEYaZ8oVQ_2_2"/>
      <w:bookmarkStart w:id="748" w:name="Tc_73u0cBbtv0y5_5lwdAFktA_1_4"/>
      <w:bookmarkStart w:id="749" w:name="Tc_FeNxkMG0EE25L9aHOZM_tw_1_2"/>
      <w:bookmarkStart w:id="750" w:name="_3249e489_4eb6_489a_b11f_77c47610e002"/>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r>
        <w:rPr>
          <w:rFonts w:ascii="Times New Roman;Times;serif" w:hAnsi="Times New Roman;Times;serif"/>
          <w:i/>
          <w:sz w:val="20"/>
        </w:rPr>
        <w:t>Restricted share units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Company’s RSU activity under the 2020 Plan since December 31, 2025:</w:t>
      </w:r>
    </w:p>
    <w:p>
      <w:pPr>
        <w:pStyle w:val="TextBody"/>
        <w:bidi w:val="0"/>
        <w:spacing w:before="0" w:after="0"/>
        <w:ind w:left="0" w:right="0" w:hanging="0"/>
        <w:jc w:val="left"/>
        <w:rPr/>
      </w:pPr>
      <w:r>
        <w:rPr/>
        <w:t>​</w:t>
      </w:r>
    </w:p>
    <w:tbl>
      <w:tblPr>
        <w:tblW w:w="8845" w:type="dxa"/>
        <w:jc w:val="left"/>
        <w:tblInd w:w="0" w:type="dxa"/>
        <w:tblLayout w:type="fixed"/>
        <w:tblCellMar>
          <w:top w:w="0" w:type="dxa"/>
          <w:left w:w="0" w:type="dxa"/>
          <w:bottom w:w="0" w:type="dxa"/>
          <w:right w:w="0" w:type="dxa"/>
        </w:tblCellMar>
      </w:tblPr>
      <w:tblGrid>
        <w:gridCol w:w="5401"/>
        <w:gridCol w:w="109"/>
        <w:gridCol w:w="1411"/>
        <w:gridCol w:w="109"/>
        <w:gridCol w:w="431"/>
        <w:gridCol w:w="1384"/>
      </w:tblGrid>
      <w:tr>
        <w:trPr/>
        <w:tc>
          <w:tcPr>
            <w:tcW w:w="5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3429635" cy="175260"/>
                      <wp:effectExtent l="0" t="0" r="0" b="0"/>
                      <wp:wrapNone/>
                      <wp:docPr id="109" name="Frame109"/>
                      <a:graphic xmlns:a="http://schemas.openxmlformats.org/drawingml/2006/main">
                        <a:graphicData uri="http://schemas.microsoft.com/office/word/2010/wordprocessingShape">
                          <wps:wsp>
                            <wps:cNvSpPr txBox="1"/>
                            <wps:spPr>
                              <a:xfrm>
                                <a:off x="0" y="0"/>
                                <a:ext cx="3429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9215" cy="175260"/>
                      <wp:effectExtent l="0" t="0" r="0" b="0"/>
                      <wp:wrapNone/>
                      <wp:docPr id="110" name="Frame1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895985" cy="175260"/>
                      <wp:effectExtent l="0" t="0" r="0" b="0"/>
                      <wp:wrapNone/>
                      <wp:docPr id="111" name="Frame111"/>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9215" cy="175260"/>
                      <wp:effectExtent l="0" t="0" r="0" b="0"/>
                      <wp:wrapNone/>
                      <wp:docPr id="112" name="Frame1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73685" cy="175260"/>
                      <wp:effectExtent l="0" t="0" r="0" b="0"/>
                      <wp:wrapNone/>
                      <wp:docPr id="113" name="Frame113"/>
                      <a:graphic xmlns:a="http://schemas.openxmlformats.org/drawingml/2006/main">
                        <a:graphicData uri="http://schemas.microsoft.com/office/word/2010/wordprocessingShape">
                          <wps:wsp>
                            <wps:cNvSpPr txBox="1"/>
                            <wps:spPr>
                              <a:xfrm>
                                <a:off x="0" y="0"/>
                                <a:ext cx="273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878840" cy="175260"/>
                      <wp:effectExtent l="0" t="0" r="0" b="0"/>
                      <wp:wrapNone/>
                      <wp:docPr id="114" name="Frame114"/>
                      <a:graphic xmlns:a="http://schemas.openxmlformats.org/drawingml/2006/main">
                        <a:graphicData uri="http://schemas.microsoft.com/office/word/2010/wordprocessingShape">
                          <wps:wsp>
                            <wps:cNvSpPr txBox="1"/>
                            <wps:spPr>
                              <a:xfrm>
                                <a:off x="0" y="0"/>
                                <a:ext cx="878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Shares</w:t>
            </w:r>
          </w:p>
        </w:tc>
        <w:tc>
          <w:tcPr>
            <w:tcW w:w="109" w:type="dxa"/>
            <w:tcBorders/>
            <w:vAlign w:val="center"/>
          </w:tcPr>
          <w:p>
            <w:pPr>
              <w:pStyle w:val="TableContents"/>
              <w:bidi w:val="0"/>
              <w:spacing w:before="0" w:after="0"/>
              <w:ind w:left="0" w:right="0" w:hanging="0"/>
              <w:jc w:val="left"/>
              <w:rPr/>
            </w:pPr>
            <w:r>
              <w:rPr/>
              <w:t>​</w:t>
            </w:r>
          </w:p>
        </w:tc>
        <w:tc>
          <w:tcPr>
            <w:tcW w:w="181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Weighted-Average</w:t>
            </w:r>
          </w:p>
        </w:tc>
      </w:tr>
      <w:tr>
        <w:trPr/>
        <w:tc>
          <w:tcPr>
            <w:tcW w:w="54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Underlying RSUs</w:t>
            </w:r>
          </w:p>
        </w:tc>
        <w:tc>
          <w:tcPr>
            <w:tcW w:w="109" w:type="dxa"/>
            <w:tcBorders/>
            <w:vAlign w:val="center"/>
          </w:tcPr>
          <w:p>
            <w:pPr>
              <w:pStyle w:val="TableContents"/>
              <w:bidi w:val="0"/>
              <w:spacing w:before="0" w:after="0"/>
              <w:ind w:left="0" w:right="0" w:hanging="0"/>
              <w:jc w:val="left"/>
              <w:rPr/>
            </w:pPr>
            <w:r>
              <w:rPr/>
              <w:t>​</w:t>
            </w:r>
          </w:p>
        </w:tc>
        <w:tc>
          <w:tcPr>
            <w:tcW w:w="18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 Fair Value</w:t>
            </w:r>
          </w:p>
        </w:tc>
      </w:tr>
      <w:tr>
        <w:trPr/>
        <w:tc>
          <w:tcPr>
            <w:tcW w:w="5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at December 31, 2025</w:t>
            </w:r>
          </w:p>
        </w:tc>
        <w:tc>
          <w:tcPr>
            <w:tcW w:w="109" w:type="dxa"/>
            <w:tcBorders/>
            <w:shd w:fill="CCEEFF" w:val="clear"/>
            <w:vAlign w:val="center"/>
          </w:tcPr>
          <w:p>
            <w:pPr>
              <w:pStyle w:val="TableContents"/>
              <w:bidi w:val="0"/>
              <w:spacing w:before="0" w:after="0"/>
              <w:ind w:left="0" w:right="0" w:hanging="0"/>
              <w:jc w:val="left"/>
              <w:rPr/>
            </w:pPr>
            <w:r>
              <w:rPr/>
              <w:t>​</w:t>
            </w:r>
          </w:p>
        </w:tc>
        <w:tc>
          <w:tcPr>
            <w:tcW w:w="14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1,547,128</w:t>
            </w:r>
          </w:p>
        </w:tc>
        <w:tc>
          <w:tcPr>
            <w:tcW w:w="109" w:type="dxa"/>
            <w:tcBorders/>
            <w:shd w:fill="CCEEFF" w:val="clear"/>
            <w:vAlign w:val="center"/>
          </w:tcPr>
          <w:p>
            <w:pPr>
              <w:pStyle w:val="TableContents"/>
              <w:bidi w:val="0"/>
              <w:spacing w:before="0" w:after="0"/>
              <w:ind w:left="0" w:right="0" w:hanging="0"/>
              <w:jc w:val="left"/>
              <w:rPr/>
            </w:pPr>
            <w:r>
              <w:rPr/>
              <w:t>​</w:t>
            </w:r>
          </w:p>
        </w:tc>
        <w:tc>
          <w:tcPr>
            <w:tcW w:w="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15.40</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109" w:type="dxa"/>
            <w:tcBorders/>
            <w:vAlign w:val="center"/>
          </w:tcPr>
          <w:p>
            <w:pPr>
              <w:pStyle w:val="TableContents"/>
              <w:bidi w:val="0"/>
              <w:spacing w:before="0" w:after="0"/>
              <w:ind w:left="0" w:right="0" w:hanging="0"/>
              <w:jc w:val="left"/>
              <w:rPr/>
            </w:pPr>
            <w:r>
              <w:rPr/>
              <w:t>​</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1,917,665</w:t>
            </w:r>
          </w:p>
        </w:tc>
        <w:tc>
          <w:tcPr>
            <w:tcW w:w="109" w:type="dxa"/>
            <w:tcBorders/>
            <w:vAlign w:val="center"/>
          </w:tcPr>
          <w:p>
            <w:pPr>
              <w:pStyle w:val="TableContents"/>
              <w:bidi w:val="0"/>
              <w:spacing w:before="0" w:after="0"/>
              <w:ind w:left="0" w:right="0" w:hanging="0"/>
              <w:jc w:val="left"/>
              <w:rPr/>
            </w:pPr>
            <w:r>
              <w:rPr/>
              <w:t>​</w:t>
            </w:r>
          </w:p>
        </w:tc>
        <w:tc>
          <w:tcPr>
            <w:tcW w:w="431" w:type="dxa"/>
            <w:tcBorders/>
            <w:vAlign w:val="center"/>
          </w:tcPr>
          <w:p>
            <w:pPr>
              <w:pStyle w:val="TableContents"/>
              <w:bidi w:val="0"/>
              <w:spacing w:before="0" w:after="0"/>
              <w:ind w:left="0" w:right="0" w:hanging="0"/>
              <w:jc w:val="left"/>
              <w:rPr/>
            </w:pPr>
            <w:r>
              <w:rPr/>
              <w:t>​</w:t>
            </w:r>
          </w:p>
        </w:tc>
        <w:tc>
          <w:tcPr>
            <w:tcW w:w="13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7.07</w:t>
            </w:r>
          </w:p>
        </w:tc>
      </w:tr>
      <w:tr>
        <w:trPr/>
        <w:tc>
          <w:tcPr>
            <w:tcW w:w="5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and settled</w:t>
            </w:r>
          </w:p>
        </w:tc>
        <w:tc>
          <w:tcPr>
            <w:tcW w:w="109" w:type="dxa"/>
            <w:tcBorders/>
            <w:shd w:fill="CCEEFF" w:val="clear"/>
            <w:vAlign w:val="center"/>
          </w:tcPr>
          <w:p>
            <w:pPr>
              <w:pStyle w:val="TableContents"/>
              <w:bidi w:val="0"/>
              <w:spacing w:before="0" w:after="0"/>
              <w:ind w:left="0" w:right="0" w:hanging="0"/>
              <w:jc w:val="left"/>
              <w:rPr/>
            </w:pPr>
            <w:r>
              <w:rPr/>
              <w:t>​</w:t>
            </w:r>
          </w:p>
        </w:tc>
        <w:tc>
          <w:tcPr>
            <w:tcW w:w="14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(439,468)</w:t>
            </w:r>
          </w:p>
        </w:tc>
        <w:tc>
          <w:tcPr>
            <w:tcW w:w="109" w:type="dxa"/>
            <w:tcBorders/>
            <w:shd w:fill="CCEEFF" w:val="clear"/>
            <w:vAlign w:val="center"/>
          </w:tcPr>
          <w:p>
            <w:pPr>
              <w:pStyle w:val="TableContents"/>
              <w:bidi w:val="0"/>
              <w:spacing w:before="0" w:after="0"/>
              <w:ind w:left="0" w:right="0" w:hanging="0"/>
              <w:jc w:val="left"/>
              <w:rPr/>
            </w:pPr>
            <w:r>
              <w:rPr/>
              <w:t>​</w:t>
            </w:r>
          </w:p>
        </w:tc>
        <w:tc>
          <w:tcPr>
            <w:tcW w:w="431" w:type="dxa"/>
            <w:tcBorders/>
            <w:shd w:fill="CCEEFF" w:val="clear"/>
            <w:vAlign w:val="center"/>
          </w:tcPr>
          <w:p>
            <w:pPr>
              <w:pStyle w:val="TableContents"/>
              <w:bidi w:val="0"/>
              <w:spacing w:before="0" w:after="0"/>
              <w:ind w:left="0" w:right="0" w:hanging="0"/>
              <w:jc w:val="left"/>
              <w:rPr/>
            </w:pPr>
            <w:r>
              <w:rPr/>
              <w:t>​</w:t>
            </w:r>
          </w:p>
        </w:tc>
        <w:tc>
          <w:tcPr>
            <w:tcW w:w="13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16.25</w:t>
            </w:r>
          </w:p>
        </w:tc>
      </w:tr>
      <w:tr>
        <w:trPr/>
        <w:tc>
          <w:tcPr>
            <w:tcW w:w="540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Vested and deferred</w:t>
            </w:r>
            <w:r>
              <w:rPr>
                <w:rFonts w:ascii="Times New Roman;Times;serif" w:hAnsi="Times New Roman;Times;serif"/>
                <w:sz w:val="15"/>
              </w:rPr>
              <w:t>(1)</w:t>
            </w:r>
          </w:p>
        </w:tc>
        <w:tc>
          <w:tcPr>
            <w:tcW w:w="109" w:type="dxa"/>
            <w:tcBorders/>
            <w:vAlign w:val="center"/>
          </w:tcPr>
          <w:p>
            <w:pPr>
              <w:pStyle w:val="TableContents"/>
              <w:bidi w:val="0"/>
              <w:spacing w:before="0" w:after="0"/>
              <w:ind w:left="0" w:right="0" w:hanging="0"/>
              <w:jc w:val="left"/>
              <w:rPr/>
            </w:pPr>
            <w:r>
              <w:rPr/>
              <w:t>​</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(93,905)</w:t>
            </w:r>
          </w:p>
        </w:tc>
        <w:tc>
          <w:tcPr>
            <w:tcW w:w="109" w:type="dxa"/>
            <w:tcBorders/>
            <w:vAlign w:val="center"/>
          </w:tcPr>
          <w:p>
            <w:pPr>
              <w:pStyle w:val="TableContents"/>
              <w:bidi w:val="0"/>
              <w:spacing w:before="0" w:after="0"/>
              <w:ind w:left="0" w:right="0" w:hanging="0"/>
              <w:jc w:val="left"/>
              <w:rPr/>
            </w:pPr>
            <w:r>
              <w:rPr/>
              <w:t>​</w:t>
            </w:r>
          </w:p>
        </w:tc>
        <w:tc>
          <w:tcPr>
            <w:tcW w:w="431" w:type="dxa"/>
            <w:tcBorders/>
            <w:vAlign w:val="center"/>
          </w:tcPr>
          <w:p>
            <w:pPr>
              <w:pStyle w:val="TableContents"/>
              <w:bidi w:val="0"/>
              <w:spacing w:before="0" w:after="0"/>
              <w:ind w:left="0" w:right="0" w:hanging="0"/>
              <w:jc w:val="left"/>
              <w:rPr/>
            </w:pPr>
            <w:r>
              <w:rPr/>
              <w:t>​</w:t>
            </w:r>
          </w:p>
        </w:tc>
        <w:tc>
          <w:tcPr>
            <w:tcW w:w="13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8.45</w:t>
            </w:r>
          </w:p>
        </w:tc>
      </w:tr>
      <w:tr>
        <w:trPr/>
        <w:tc>
          <w:tcPr>
            <w:tcW w:w="5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109" w:type="dxa"/>
            <w:tcBorders/>
            <w:shd w:fill="CCEEFF" w:val="clear"/>
            <w:vAlign w:val="center"/>
          </w:tcPr>
          <w:p>
            <w:pPr>
              <w:pStyle w:val="TableContents"/>
              <w:bidi w:val="0"/>
              <w:spacing w:before="0" w:after="0"/>
              <w:ind w:left="0" w:right="0" w:hanging="0"/>
              <w:jc w:val="left"/>
              <w:rPr/>
            </w:pPr>
            <w:r>
              <w:rPr/>
              <w:t>​</w:t>
            </w:r>
          </w:p>
        </w:tc>
        <w:tc>
          <w:tcPr>
            <w:tcW w:w="14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(455,313)</w:t>
            </w:r>
          </w:p>
        </w:tc>
        <w:tc>
          <w:tcPr>
            <w:tcW w:w="109" w:type="dxa"/>
            <w:tcBorders/>
            <w:shd w:fill="CCEEFF" w:val="clear"/>
            <w:vAlign w:val="center"/>
          </w:tcPr>
          <w:p>
            <w:pPr>
              <w:pStyle w:val="TableContents"/>
              <w:bidi w:val="0"/>
              <w:spacing w:before="0" w:after="0"/>
              <w:ind w:left="0" w:right="0" w:hanging="0"/>
              <w:jc w:val="left"/>
              <w:rPr/>
            </w:pPr>
            <w:r>
              <w:rPr/>
              <w:t>​</w:t>
            </w:r>
          </w:p>
        </w:tc>
        <w:tc>
          <w:tcPr>
            <w:tcW w:w="431" w:type="dxa"/>
            <w:tcBorders/>
            <w:shd w:fill="CCEEFF" w:val="clear"/>
            <w:vAlign w:val="center"/>
          </w:tcPr>
          <w:p>
            <w:pPr>
              <w:pStyle w:val="TableContents"/>
              <w:bidi w:val="0"/>
              <w:spacing w:before="0" w:after="0"/>
              <w:ind w:left="0" w:right="0" w:hanging="0"/>
              <w:jc w:val="left"/>
              <w:rPr/>
            </w:pPr>
            <w:r>
              <w:rPr/>
              <w:t>​</w:t>
            </w:r>
          </w:p>
        </w:tc>
        <w:tc>
          <w:tcPr>
            <w:tcW w:w="13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9.16</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outstanding at June 30, 2026</w:t>
            </w:r>
          </w:p>
        </w:tc>
        <w:tc>
          <w:tcPr>
            <w:tcW w:w="109" w:type="dxa"/>
            <w:tcBorders/>
            <w:vAlign w:val="center"/>
          </w:tcPr>
          <w:p>
            <w:pPr>
              <w:pStyle w:val="TableContents"/>
              <w:bidi w:val="0"/>
              <w:spacing w:before="0" w:after="0"/>
              <w:ind w:left="0" w:right="0" w:hanging="0"/>
              <w:jc w:val="left"/>
              <w:rPr/>
            </w:pPr>
            <w:r>
              <w:rPr/>
              <w:t>​</w:t>
            </w:r>
          </w:p>
        </w:tc>
        <w:tc>
          <w:tcPr>
            <w:tcW w:w="14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2,476,107</w:t>
            </w:r>
          </w:p>
        </w:tc>
        <w:tc>
          <w:tcPr>
            <w:tcW w:w="109" w:type="dxa"/>
            <w:tcBorders/>
            <w:vAlign w:val="center"/>
          </w:tcPr>
          <w:p>
            <w:pPr>
              <w:pStyle w:val="TableContents"/>
              <w:bidi w:val="0"/>
              <w:spacing w:before="0" w:after="0"/>
              <w:ind w:left="0" w:right="0" w:hanging="0"/>
              <w:jc w:val="left"/>
              <w:rPr/>
            </w:pPr>
            <w:r>
              <w:rPr/>
              <w:t>​</w:t>
            </w:r>
          </w:p>
        </w:tc>
        <w:tc>
          <w:tcPr>
            <w:tcW w:w="431" w:type="dxa"/>
            <w:tcBorders/>
            <w:vAlign w:val="center"/>
          </w:tcPr>
          <w:p>
            <w:pPr>
              <w:pStyle w:val="TableContents"/>
              <w:bidi w:val="0"/>
              <w:spacing w:before="0" w:after="0"/>
              <w:ind w:left="0" w:right="0" w:hanging="0"/>
              <w:jc w:val="left"/>
              <w:rPr/>
            </w:pPr>
            <w:r>
              <w:rPr/>
              <w:t>​</w:t>
            </w:r>
          </w:p>
        </w:tc>
        <w:tc>
          <w:tcPr>
            <w:tcW w:w="13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10.21</w:t>
            </w:r>
          </w:p>
        </w:tc>
      </w:tr>
      <w:tr>
        <w:trPr/>
        <w:tc>
          <w:tcPr>
            <w:tcW w:w="540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Vested but subject to deferred settlement at December 31, 2025</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14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97,293</w:t>
            </w:r>
          </w:p>
        </w:tc>
        <w:tc>
          <w:tcPr>
            <w:tcW w:w="109" w:type="dxa"/>
            <w:tcBorders/>
            <w:shd w:fill="CCEEFF" w:val="clear"/>
            <w:vAlign w:val="center"/>
          </w:tcPr>
          <w:p>
            <w:pPr>
              <w:pStyle w:val="TableContents"/>
              <w:bidi w:val="0"/>
              <w:spacing w:before="0" w:after="0"/>
              <w:ind w:left="0" w:right="0" w:hanging="0"/>
              <w:jc w:val="left"/>
              <w:rPr/>
            </w:pPr>
            <w:r>
              <w:rPr/>
              <w:t>​</w:t>
            </w:r>
          </w:p>
        </w:tc>
        <w:tc>
          <w:tcPr>
            <w:tcW w:w="431" w:type="dxa"/>
            <w:tcBorders/>
            <w:shd w:fill="CCEEFF" w:val="clear"/>
            <w:vAlign w:val="center"/>
          </w:tcPr>
          <w:p>
            <w:pPr>
              <w:pStyle w:val="TableContents"/>
              <w:bidi w:val="0"/>
              <w:spacing w:before="0" w:after="0"/>
              <w:ind w:left="0" w:right="0" w:hanging="0"/>
              <w:jc w:val="left"/>
              <w:rPr/>
            </w:pPr>
            <w:r>
              <w:rPr/>
              <w:t>​</w:t>
            </w:r>
          </w:p>
        </w:tc>
        <w:tc>
          <w:tcPr>
            <w:tcW w:w="13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16.42</w:t>
            </w:r>
          </w:p>
        </w:tc>
      </w:tr>
      <w:tr>
        <w:trPr/>
        <w:tc>
          <w:tcPr>
            <w:tcW w:w="540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Vested and deferred</w:t>
            </w:r>
            <w:r>
              <w:rPr>
                <w:rFonts w:ascii="Times New Roman;Times;serif" w:hAnsi="Times New Roman;Times;serif"/>
                <w:sz w:val="15"/>
              </w:rPr>
              <w:t>(1)</w:t>
            </w:r>
          </w:p>
        </w:tc>
        <w:tc>
          <w:tcPr>
            <w:tcW w:w="109" w:type="dxa"/>
            <w:tcBorders/>
            <w:vAlign w:val="center"/>
          </w:tcPr>
          <w:p>
            <w:pPr>
              <w:pStyle w:val="TableContents"/>
              <w:bidi w:val="0"/>
              <w:spacing w:before="0" w:after="0"/>
              <w:ind w:left="0" w:right="0" w:hanging="0"/>
              <w:jc w:val="left"/>
              <w:rPr/>
            </w:pPr>
            <w:r>
              <w:rPr/>
              <w:t>​</w:t>
            </w:r>
          </w:p>
        </w:tc>
        <w:tc>
          <w:tcPr>
            <w:tcW w:w="14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93,905</w:t>
            </w:r>
          </w:p>
        </w:tc>
        <w:tc>
          <w:tcPr>
            <w:tcW w:w="109" w:type="dxa"/>
            <w:tcBorders/>
            <w:vAlign w:val="center"/>
          </w:tcPr>
          <w:p>
            <w:pPr>
              <w:pStyle w:val="TableContents"/>
              <w:bidi w:val="0"/>
              <w:spacing w:before="0" w:after="0"/>
              <w:ind w:left="0" w:right="0" w:hanging="0"/>
              <w:jc w:val="left"/>
              <w:rPr/>
            </w:pPr>
            <w:r>
              <w:rPr/>
              <w:t>​</w:t>
            </w:r>
          </w:p>
        </w:tc>
        <w:tc>
          <w:tcPr>
            <w:tcW w:w="431" w:type="dxa"/>
            <w:tcBorders/>
            <w:vAlign w:val="center"/>
          </w:tcPr>
          <w:p>
            <w:pPr>
              <w:pStyle w:val="TableContents"/>
              <w:bidi w:val="0"/>
              <w:spacing w:before="0" w:after="0"/>
              <w:ind w:left="0" w:right="0" w:hanging="0"/>
              <w:jc w:val="left"/>
              <w:rPr/>
            </w:pPr>
            <w:r>
              <w:rPr/>
              <w:t>​</w:t>
            </w:r>
          </w:p>
        </w:tc>
        <w:tc>
          <w:tcPr>
            <w:tcW w:w="13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8.45</w:t>
            </w:r>
          </w:p>
        </w:tc>
      </w:tr>
      <w:tr>
        <w:trPr/>
        <w:tc>
          <w:tcPr>
            <w:tcW w:w="540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Vested but subject to deferred settlement at June 30, 2026</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14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191,198</w:t>
            </w:r>
          </w:p>
        </w:tc>
        <w:tc>
          <w:tcPr>
            <w:tcW w:w="109" w:type="dxa"/>
            <w:tcBorders/>
            <w:shd w:fill="CCEEFF" w:val="clear"/>
            <w:vAlign w:val="center"/>
          </w:tcPr>
          <w:p>
            <w:pPr>
              <w:pStyle w:val="TableContents"/>
              <w:bidi w:val="0"/>
              <w:spacing w:before="0" w:after="0"/>
              <w:ind w:left="0" w:right="0" w:hanging="0"/>
              <w:jc w:val="left"/>
              <w:rPr/>
            </w:pPr>
            <w:r>
              <w:rPr/>
              <w:t>​</w:t>
            </w:r>
          </w:p>
        </w:tc>
        <w:tc>
          <w:tcPr>
            <w:tcW w:w="431" w:type="dxa"/>
            <w:tcBorders/>
            <w:shd w:fill="CCEEFF" w:val="clear"/>
            <w:vAlign w:val="center"/>
          </w:tcPr>
          <w:p>
            <w:pPr>
              <w:pStyle w:val="TableContents"/>
              <w:bidi w:val="0"/>
              <w:spacing w:before="0" w:after="0"/>
              <w:ind w:left="0" w:right="0" w:hanging="0"/>
              <w:jc w:val="left"/>
              <w:rPr/>
            </w:pPr>
            <w:r>
              <w:rPr/>
              <w:t>​</w:t>
            </w:r>
          </w:p>
        </w:tc>
        <w:tc>
          <w:tcPr>
            <w:tcW w:w="13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12.51</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June 30, 2026</w:t>
            </w:r>
          </w:p>
        </w:tc>
        <w:tc>
          <w:tcPr>
            <w:tcW w:w="109" w:type="dxa"/>
            <w:tcBorders/>
            <w:vAlign w:val="center"/>
          </w:tcPr>
          <w:p>
            <w:pPr>
              <w:pStyle w:val="TableContents"/>
              <w:bidi w:val="0"/>
              <w:spacing w:before="0" w:after="0"/>
              <w:ind w:left="0" w:right="0" w:hanging="0"/>
              <w:jc w:val="left"/>
              <w:rPr/>
            </w:pPr>
            <w:r>
              <w:rPr/>
              <w:t>​</w:t>
            </w:r>
          </w:p>
        </w:tc>
        <w:tc>
          <w:tcPr>
            <w:tcW w:w="14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2,667,305</w:t>
            </w:r>
          </w:p>
        </w:tc>
        <w:tc>
          <w:tcPr>
            <w:tcW w:w="109" w:type="dxa"/>
            <w:tcBorders/>
            <w:vAlign w:val="center"/>
          </w:tcPr>
          <w:p>
            <w:pPr>
              <w:pStyle w:val="TableContents"/>
              <w:bidi w:val="0"/>
              <w:spacing w:before="0" w:after="0"/>
              <w:ind w:left="0" w:right="0" w:hanging="0"/>
              <w:jc w:val="left"/>
              <w:rPr/>
            </w:pPr>
            <w:r>
              <w:rPr/>
              <w:t>​</w:t>
            </w:r>
          </w:p>
        </w:tc>
        <w:tc>
          <w:tcPr>
            <w:tcW w:w="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4"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10.37</w:t>
            </w:r>
          </w:p>
        </w:tc>
      </w:tr>
    </w:tbl>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99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Company has granted certain RSUs to the Company’s non-employee directors which provide for deferred settlement of the RSUs to a specified date following the first to occur of (i) the date of the director’s separation from service, (ii) the date of the director’s disability, (iii) the date of the director’s death, or (iv) the date of a change in control event.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fair value of RSUs that vested during the three and six months ended June 30, 2026 was $0.8 million and $3.3 million, respectively, and during the three and six months ended June 30, 2025 was $0.5 million and $2.7 million, respectively.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Total share-based compensation expense for RSUs granted was $2.5 million and $5.0 million for the three and six months ended June 30, 2026, respectively, and was $2.7 million and $5.4 million for the three and six months ended June 30, 2025, respectively. As of June 30, 2026, the total unrecognized compensation expense related to unvested RSUs was $21.1 million, which is expected to be recognized over a weighted-average period of 2.7 years.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51" w:name="Tc_RCugW3UA80i4BG_VDnhW5Q_8_2"/>
      <w:bookmarkStart w:id="752" w:name="Tc_l0yHW5Oxg0mq8skG9Z1r4g_7_0"/>
      <w:bookmarkStart w:id="753" w:name="Tc_Iy4swRqnv0i3CIKmOBfsuw_6_0"/>
      <w:bookmarkStart w:id="754" w:name="Tc_YGHlDgoeXUKWb85WXcqCUA_5_0"/>
      <w:bookmarkStart w:id="755" w:name="Tc_83icAYMqBkapIKqK5h6WpA_4_0"/>
      <w:bookmarkStart w:id="756" w:name="Tc_WEz2V4fn10WHwp5-C4D8Tg_3_2"/>
      <w:bookmarkStart w:id="757" w:name="Tc_fGV6aITkbUe436YDvUcFzA_3_0"/>
      <w:bookmarkStart w:id="758" w:name="Tc_W61QgMrtSUShKPzTZlHuVQ_2_2"/>
      <w:bookmarkStart w:id="759" w:name="Tc_Sr3cELQbSkG9Yr9R2jILsw_2_0"/>
      <w:bookmarkStart w:id="760" w:name="Tc_59dAxbTY7UGQ6VUMwyl9FQ_1_2"/>
      <w:bookmarkStart w:id="761" w:name="Tc_LBrlOxnVBEunmMr-LM_D7Q_9_11"/>
      <w:bookmarkStart w:id="762" w:name="Tc_Zd5CY6LDrE6lj8b9nHj2aQ_9_8"/>
      <w:bookmarkStart w:id="763" w:name="Tc_Z8_F9XSh_0O0ovW3ywJ02A_9_5"/>
      <w:bookmarkStart w:id="764" w:name="Tc_gXW6Vr-xgEGZQATa-dex0g_9_2"/>
      <w:bookmarkStart w:id="765" w:name="Tc_bwjvKS5cF0SskKwgoOg0VQ_9_0"/>
      <w:bookmarkStart w:id="766" w:name="Tc__uMIrRd2OkSvAOvLfSEnxg_8_9"/>
      <w:bookmarkStart w:id="767" w:name="Tc_9DPjHKbSWkCS3wb6j6J9UA_8_3"/>
      <w:bookmarkStart w:id="768" w:name="Tc_n3wJuJLogUi2_TIrOPTYFQ_8_0"/>
      <w:bookmarkStart w:id="769" w:name="Tc_qcJhYDpDp0i_pJp_EoXyyg_7_9"/>
      <w:bookmarkStart w:id="770" w:name="Tc_KNQv--R3pU6-y-5VWz0FKA_7_3"/>
      <w:bookmarkStart w:id="771" w:name="Tc_wJF2IR2Y7UKX0iqkfTFrvQ_7_0"/>
      <w:bookmarkStart w:id="772" w:name="Tc_lEZNFgc8-0iEoY0xvR1UFw_6_11"/>
      <w:bookmarkStart w:id="773" w:name="Tc_aPm6RpEW7kC4vyIdORRFWg_6_8"/>
      <w:bookmarkStart w:id="774" w:name="Tc_FJhYtzU-UECiybpNNXo45A_6_5"/>
      <w:bookmarkStart w:id="775" w:name="Tc_QYPL7v4Nf0CGQEDkhxn9WQ_6_2"/>
      <w:bookmarkStart w:id="776" w:name="Tc_G4JnlM4w0k-FNk0QFlDddQ_6_0"/>
      <w:bookmarkStart w:id="777" w:name="Tc_jeO5Tb-F10GdKhisDzL5tQ_5_0"/>
      <w:bookmarkStart w:id="778" w:name="Tc_kqKonN1k7k6kaRa3KWCY2A_4_11"/>
      <w:bookmarkStart w:id="779" w:name="Tc_5g4Rmk8bg06_X39C10wj8Q_4_8"/>
      <w:bookmarkStart w:id="780" w:name="Tc_mBW7X3wPmUevMONFd_bSrA_4_5"/>
      <w:bookmarkStart w:id="781" w:name="Tc_AAa6Vle1mUmDx7MtlymySQ_4_2"/>
      <w:bookmarkStart w:id="782" w:name="Tc_XgGZBZBvi0ejaMdxhe-wrg_3_8"/>
      <w:bookmarkStart w:id="783" w:name="Tc_WVOG8tdeUEWOnqi8rmLNwQ_3_2"/>
      <w:bookmarkStart w:id="784" w:name="Tc_GsOZfm-XREe7szahAyQ8iw_2_8"/>
      <w:bookmarkStart w:id="785" w:name="Tc_DKNf287gkUezLZRTEmRkpA_2_2"/>
      <w:bookmarkStart w:id="786" w:name="Tc_rjKpL8dBHEm58TOPjBoJ5Q_1_8"/>
      <w:bookmarkStart w:id="787" w:name="Tc_dzSxNNBvA0-fg7rAmYQvVg_1_2"/>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r>
        <w:rPr>
          <w:rFonts w:ascii="Times New Roman;Times;serif" w:hAnsi="Times New Roman;Times;serif"/>
          <w:b/>
          <w:sz w:val="20"/>
        </w:rPr>
        <w:t>8. Significant agreements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the three and six months ended June 30, 2026 and 2025, the Company recognized revenue for its collaborations with Bayer Consumer Care AG (“Bayer”), Novartis Pharma AG (“Novartis”), and Genentech, Inc. (“Genentech”). The following table summarizes the revenue recognized in the Company’s condensed consolidated statements of operations and comprehensive loss from these arrangements (in thousands):</w:t>
      </w:r>
    </w:p>
    <w:p>
      <w:pPr>
        <w:pStyle w:val="TextBody"/>
        <w:bidi w:val="0"/>
        <w:spacing w:before="0" w:after="0"/>
        <w:ind w:left="0" w:right="0" w:hanging="0"/>
        <w:jc w:val="left"/>
        <w:rPr/>
      </w:pPr>
      <w:r>
        <w:rPr/>
        <w:t>​</w:t>
      </w:r>
    </w:p>
    <w:tbl>
      <w:tblPr>
        <w:tblW w:w="7018" w:type="dxa"/>
        <w:jc w:val="left"/>
        <w:tblInd w:w="0" w:type="dxa"/>
        <w:tblLayout w:type="fixed"/>
        <w:tblCellMar>
          <w:top w:w="0" w:type="dxa"/>
          <w:left w:w="0" w:type="dxa"/>
          <w:bottom w:w="0" w:type="dxa"/>
          <w:right w:w="0" w:type="dxa"/>
        </w:tblCellMar>
      </w:tblPr>
      <w:tblGrid>
        <w:gridCol w:w="2386"/>
        <w:gridCol w:w="346"/>
        <w:gridCol w:w="226"/>
        <w:gridCol w:w="421"/>
        <w:gridCol w:w="346"/>
        <w:gridCol w:w="226"/>
        <w:gridCol w:w="571"/>
        <w:gridCol w:w="346"/>
        <w:gridCol w:w="226"/>
        <w:gridCol w:w="571"/>
        <w:gridCol w:w="346"/>
        <w:gridCol w:w="226"/>
        <w:gridCol w:w="781"/>
      </w:tblGrid>
      <w:tr>
        <w:trPr/>
        <w:tc>
          <w:tcPr>
            <w:tcW w:w="23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19710" cy="175260"/>
                      <wp:effectExtent l="0" t="0" r="0" b="0"/>
                      <wp:wrapNone/>
                      <wp:docPr id="115" name="Frame1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43510" cy="175260"/>
                      <wp:effectExtent l="0" t="0" r="0" b="0"/>
                      <wp:wrapNone/>
                      <wp:docPr id="116" name="Frame11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67335" cy="175260"/>
                      <wp:effectExtent l="0" t="0" r="0" b="0"/>
                      <wp:wrapNone/>
                      <wp:docPr id="117" name="Frame117"/>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19710" cy="175260"/>
                      <wp:effectExtent l="0" t="0" r="0" b="0"/>
                      <wp:wrapNone/>
                      <wp:docPr id="118" name="Frame1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43510" cy="175260"/>
                      <wp:effectExtent l="0" t="0" r="0" b="0"/>
                      <wp:wrapNone/>
                      <wp:docPr id="119" name="Frame11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362585" cy="175260"/>
                      <wp:effectExtent l="0" t="0" r="0" b="0"/>
                      <wp:wrapNone/>
                      <wp:docPr id="120" name="Frame12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19710" cy="175260"/>
                      <wp:effectExtent l="0" t="0" r="0" b="0"/>
                      <wp:wrapNone/>
                      <wp:docPr id="121" name="Frame1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43510" cy="175260"/>
                      <wp:effectExtent l="0" t="0" r="0" b="0"/>
                      <wp:wrapNone/>
                      <wp:docPr id="122" name="Frame12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362585" cy="175260"/>
                      <wp:effectExtent l="0" t="0" r="0" b="0"/>
                      <wp:wrapNone/>
                      <wp:docPr id="123" name="Frame12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19710" cy="175260"/>
                      <wp:effectExtent l="0" t="0" r="0" b="0"/>
                      <wp:wrapNone/>
                      <wp:docPr id="124" name="Frame1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43510" cy="175260"/>
                      <wp:effectExtent l="0" t="0" r="0" b="0"/>
                      <wp:wrapNone/>
                      <wp:docPr id="125" name="Frame12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495935" cy="175260"/>
                      <wp:effectExtent l="0" t="0" r="0" b="0"/>
                      <wp:wrapNone/>
                      <wp:docPr id="126" name="Frame12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79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w:t>
            </w:r>
          </w:p>
        </w:tc>
        <w:tc>
          <w:tcPr>
            <w:tcW w:w="346" w:type="dxa"/>
            <w:tcBorders/>
            <w:vAlign w:val="center"/>
          </w:tcPr>
          <w:p>
            <w:pPr>
              <w:pStyle w:val="TableContents"/>
              <w:bidi w:val="0"/>
              <w:spacing w:before="0" w:after="1"/>
              <w:ind w:left="0" w:right="0" w:hanging="0"/>
              <w:jc w:val="center"/>
              <w:rPr/>
            </w:pPr>
            <w:r>
              <w:rPr/>
              <w:t>​</w:t>
            </w:r>
          </w:p>
        </w:tc>
        <w:tc>
          <w:tcPr>
            <w:tcW w:w="215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w:t>
            </w:r>
          </w:p>
        </w:tc>
      </w:tr>
      <w:tr>
        <w:trPr/>
        <w:tc>
          <w:tcPr>
            <w:tcW w:w="23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79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Ended </w:t>
            </w:r>
          </w:p>
        </w:tc>
        <w:tc>
          <w:tcPr>
            <w:tcW w:w="346" w:type="dxa"/>
            <w:tcBorders/>
            <w:vAlign w:val="center"/>
          </w:tcPr>
          <w:p>
            <w:pPr>
              <w:pStyle w:val="TableContents"/>
              <w:bidi w:val="0"/>
              <w:spacing w:before="0" w:after="1"/>
              <w:ind w:left="0" w:right="0" w:hanging="0"/>
              <w:jc w:val="center"/>
              <w:rPr/>
            </w:pPr>
            <w:r>
              <w:rPr/>
              <w:t>​</w:t>
            </w:r>
          </w:p>
        </w:tc>
        <w:tc>
          <w:tcPr>
            <w:tcW w:w="215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Ended </w:t>
            </w:r>
          </w:p>
        </w:tc>
      </w:tr>
      <w:tr>
        <w:trPr/>
        <w:tc>
          <w:tcPr>
            <w:tcW w:w="23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79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center"/>
              <w:rPr/>
            </w:pPr>
            <w:r>
              <w:rPr/>
              <w:t>​</w:t>
            </w:r>
          </w:p>
        </w:tc>
        <w:tc>
          <w:tcPr>
            <w:tcW w:w="215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3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6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3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Collaboration revenue</w:t>
            </w:r>
          </w:p>
        </w:tc>
        <w:tc>
          <w:tcPr>
            <w:tcW w:w="346" w:type="dxa"/>
            <w:tcBorders/>
            <w:shd w:fill="CCEEFF" w:val="clear"/>
            <w:vAlign w:val="center"/>
          </w:tcPr>
          <w:p>
            <w:pPr>
              <w:pStyle w:val="TableContents"/>
              <w:bidi w:val="0"/>
              <w:spacing w:before="0" w:after="1"/>
              <w:ind w:left="0" w:right="0" w:hanging="0"/>
              <w:jc w:val="left"/>
              <w:rPr/>
            </w:pPr>
            <w:r>
              <w:rPr/>
              <w:t>  ​ ​ ​</w:t>
            </w:r>
          </w:p>
        </w:tc>
        <w:tc>
          <w:tcPr>
            <w:tcW w:w="226" w:type="dxa"/>
            <w:tcBorders/>
            <w:shd w:fill="CCEEFF" w:val="clear"/>
            <w:vAlign w:val="center"/>
          </w:tcPr>
          <w:p>
            <w:pPr>
              <w:pStyle w:val="TableContents"/>
              <w:bidi w:val="0"/>
              <w:spacing w:before="0" w:after="1"/>
              <w:ind w:left="0" w:right="0" w:hanging="0"/>
              <w:jc w:val="center"/>
              <w:rPr/>
            </w:pPr>
            <w:r>
              <w:rPr/>
              <w:t>  ​</w:t>
            </w:r>
          </w:p>
        </w:tc>
        <w:tc>
          <w:tcPr>
            <w:tcW w:w="42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  ​ ​ ​</w:t>
            </w:r>
          </w:p>
        </w:tc>
        <w:tc>
          <w:tcPr>
            <w:tcW w:w="226" w:type="dxa"/>
            <w:tcBorders/>
            <w:shd w:fill="CCEEFF" w:val="clear"/>
            <w:vAlign w:val="center"/>
          </w:tcPr>
          <w:p>
            <w:pPr>
              <w:pStyle w:val="TableContents"/>
              <w:bidi w:val="0"/>
              <w:spacing w:before="0" w:after="1"/>
              <w:ind w:left="0" w:right="0" w:hanging="0"/>
              <w:jc w:val="center"/>
              <w:rPr/>
            </w:pPr>
            <w:r>
              <w:rPr/>
              <w:t>  ​</w:t>
            </w:r>
          </w:p>
        </w:tc>
        <w:tc>
          <w:tcPr>
            <w:tcW w:w="57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  ​ ​ ​</w:t>
            </w:r>
          </w:p>
        </w:tc>
        <w:tc>
          <w:tcPr>
            <w:tcW w:w="226" w:type="dxa"/>
            <w:tcBorders/>
            <w:shd w:fill="CCEEFF" w:val="clear"/>
            <w:vAlign w:val="center"/>
          </w:tcPr>
          <w:p>
            <w:pPr>
              <w:pStyle w:val="TableContents"/>
              <w:bidi w:val="0"/>
              <w:spacing w:before="0" w:after="1"/>
              <w:ind w:left="0" w:right="0" w:hanging="0"/>
              <w:jc w:val="center"/>
              <w:rPr/>
            </w:pPr>
            <w:r>
              <w:rPr/>
              <w:t>  ​</w:t>
            </w:r>
          </w:p>
        </w:tc>
        <w:tc>
          <w:tcPr>
            <w:tcW w:w="57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  ​ ​ ​</w:t>
            </w:r>
          </w:p>
        </w:tc>
        <w:tc>
          <w:tcPr>
            <w:tcW w:w="226" w:type="dxa"/>
            <w:tcBorders/>
            <w:shd w:fill="CCEEFF" w:val="clear"/>
            <w:vAlign w:val="center"/>
          </w:tcPr>
          <w:p>
            <w:pPr>
              <w:pStyle w:val="TableContents"/>
              <w:bidi w:val="0"/>
              <w:spacing w:before="0" w:after="1"/>
              <w:ind w:left="0" w:right="0" w:hanging="0"/>
              <w:jc w:val="center"/>
              <w:rPr/>
            </w:pPr>
            <w:r>
              <w:rPr/>
              <w:t>  ​</w:t>
            </w:r>
          </w:p>
        </w:tc>
        <w:tc>
          <w:tcPr>
            <w:tcW w:w="781" w:type="dxa"/>
            <w:tcBorders/>
            <w:shd w:fill="CCEEFF" w:val="clear"/>
            <w:vAlign w:val="center"/>
          </w:tcPr>
          <w:p>
            <w:pPr>
              <w:pStyle w:val="TableContents"/>
              <w:bidi w:val="0"/>
              <w:spacing w:before="0" w:after="1"/>
              <w:ind w:left="0" w:right="0" w:hanging="0"/>
              <w:jc w:val="center"/>
              <w:rPr/>
            </w:pPr>
            <w:r>
              <w:rPr/>
              <w:t>​</w:t>
            </w:r>
          </w:p>
        </w:tc>
      </w:tr>
      <w:tr>
        <w:trPr/>
        <w:tc>
          <w:tcPr>
            <w:tcW w:w="23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Bayer</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629</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1,009</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1,516</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1,857</w:t>
            </w:r>
          </w:p>
        </w:tc>
      </w:tr>
      <w:tr>
        <w:trPr/>
        <w:tc>
          <w:tcPr>
            <w:tcW w:w="23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Novartis</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1,491</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2,896</w:t>
            </w:r>
          </w:p>
        </w:tc>
      </w:tr>
      <w:tr>
        <w:trPr/>
        <w:tc>
          <w:tcPr>
            <w:tcW w:w="23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Genentech</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42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420</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8,144</w:t>
            </w:r>
          </w:p>
        </w:tc>
      </w:tr>
      <w:tr>
        <w:trPr/>
        <w:tc>
          <w:tcPr>
            <w:tcW w:w="23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collaboration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629</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2,920</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1,516</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12,897</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disclosed below, there have been no material changes to the contractual terms, or the associated accounting treatments for recognizing revenue, of the Company’s significant agreements during the three and six months ended June 30, 2026 and 2025. Please refer to Note 9. “Significant agreements” to the Company’s audited consolidated financial statements for the year ended December 31, 2025, included in the Company’s 2025 Annual Report for further details on the Company’s significant agreements.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Bayer Collaboration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May 4, 2023, the Company and Bayer entered into a collaboration and license agreement (the “Bayer Collaboration Agreement”), pursuant to which the parties will perform research and discovery activities under a mutually agreed upon research plan during a research term up to a specified number of years per target program to generate radiopharmaceutical compounds incorporating optimized Bicycle constructs directed to two specified targets, under the oversight of a joint research committee.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November 2025, Bayer provided the Company with a notice of termination of one of the initial target programs, effective in January 2026. The Company accounted for the notice of termination as a contract modification in the fourth quarter of 2025 as the notice of termination reduced the scope of the arrangement. As a result, the Company allocated the remaining unrecognized transaction price as of the modification date to the remaining unsatisfied and partially satisfied performance obligations and updated the measure of progress as of the modification date. The following table summarizes the allocation of the remaining unrecognized transaction price to the remaining unsatisfied and partially satisfied performance obligations as of the modification date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8857"/>
        <w:gridCol w:w="109"/>
        <w:gridCol w:w="267"/>
        <w:gridCol w:w="972"/>
      </w:tblGrid>
      <w:tr>
        <w:trPr/>
        <w:tc>
          <w:tcPr>
            <w:tcW w:w="885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9215" cy="175260"/>
                      <wp:effectExtent l="0" t="0" r="0" b="0"/>
                      <wp:wrapNone/>
                      <wp:docPr id="127" name="Frame1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69545" cy="175260"/>
                      <wp:effectExtent l="0" t="0" r="0" b="0"/>
                      <wp:wrapNone/>
                      <wp:docPr id="128" name="Frame128"/>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17220" cy="175260"/>
                      <wp:effectExtent l="0" t="0" r="0" b="0"/>
                      <wp:wrapNone/>
                      <wp:docPr id="129" name="Frame129"/>
                      <a:graphic xmlns:a="http://schemas.openxmlformats.org/drawingml/2006/main">
                        <a:graphicData uri="http://schemas.microsoft.com/office/word/2010/wordprocessingShape">
                          <wps:wsp>
                            <wps:cNvSpPr txBox="1"/>
                            <wps:spPr>
                              <a:xfrm>
                                <a:off x="0" y="0"/>
                                <a:ext cx="6172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885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23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Allocation of</w:t>
            </w:r>
          </w:p>
        </w:tc>
      </w:tr>
      <w:tr>
        <w:trPr/>
        <w:tc>
          <w:tcPr>
            <w:tcW w:w="885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Performance Obligations</w:t>
            </w:r>
          </w:p>
        </w:tc>
        <w:tc>
          <w:tcPr>
            <w:tcW w:w="109" w:type="dxa"/>
            <w:tcBorders/>
            <w:vAlign w:val="center"/>
          </w:tcPr>
          <w:p>
            <w:pPr>
              <w:pStyle w:val="TableContents"/>
              <w:bidi w:val="0"/>
              <w:spacing w:before="0" w:after="1"/>
              <w:ind w:left="0" w:right="0" w:hanging="0"/>
              <w:jc w:val="left"/>
              <w:rPr/>
            </w:pPr>
            <w:r>
              <w:rPr/>
              <w:t>​</w:t>
            </w:r>
          </w:p>
        </w:tc>
        <w:tc>
          <w:tcPr>
            <w:tcW w:w="123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Transaction Price</w:t>
            </w:r>
          </w:p>
        </w:tc>
      </w:tr>
      <w:tr>
        <w:trPr/>
        <w:tc>
          <w:tcPr>
            <w:tcW w:w="88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Combined performance obligation related to the licenses and research and development services associated with radiopharmaceutical compounds directed to the remaining initial target</w:t>
            </w:r>
          </w:p>
        </w:tc>
        <w:tc>
          <w:tcPr>
            <w:tcW w:w="109"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10,125</w:t>
            </w:r>
          </w:p>
        </w:tc>
      </w:tr>
      <w:tr>
        <w:trPr/>
        <w:tc>
          <w:tcPr>
            <w:tcW w:w="885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Material right associated with limited substitution rights for the remaining initial target</w:t>
            </w:r>
          </w:p>
        </w:tc>
        <w:tc>
          <w:tcPr>
            <w:tcW w:w="109"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w:t>
            </w:r>
          </w:p>
        </w:tc>
        <w:tc>
          <w:tcPr>
            <w:tcW w:w="97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2,206</w:t>
            </w:r>
          </w:p>
        </w:tc>
      </w:tr>
      <w:tr>
        <w:trPr/>
        <w:tc>
          <w:tcPr>
            <w:tcW w:w="88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Material right associated with the option to progress radiopharmaceutical candidates directed to the remaining initial target into further development</w:t>
            </w:r>
          </w:p>
        </w:tc>
        <w:tc>
          <w:tcPr>
            <w:tcW w:w="109"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w:t>
            </w:r>
          </w:p>
        </w:tc>
        <w:tc>
          <w:tcPr>
            <w:tcW w:w="9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10,614</w:t>
            </w:r>
          </w:p>
        </w:tc>
      </w:tr>
      <w:tr>
        <w:trPr/>
        <w:tc>
          <w:tcPr>
            <w:tcW w:w="885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Material right associated with the option to progress a non-radiopharmaceutical compound directed to the remaining initial target</w:t>
            </w:r>
          </w:p>
        </w:tc>
        <w:tc>
          <w:tcPr>
            <w:tcW w:w="109"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w:t>
            </w:r>
          </w:p>
        </w:tc>
        <w:tc>
          <w:tcPr>
            <w:tcW w:w="97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6,288</w:t>
            </w:r>
          </w:p>
        </w:tc>
      </w:tr>
      <w:tr>
        <w:trPr/>
        <w:tc>
          <w:tcPr>
            <w:tcW w:w="88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Material right for the option to expand the collaboration to include an additional target and the underlying additional option rights</w:t>
            </w:r>
          </w:p>
        </w:tc>
        <w:tc>
          <w:tcPr>
            <w:tcW w:w="109" w:type="dxa"/>
            <w:tcBorders/>
            <w:shd w:fill="CCEEFF" w:val="clear"/>
            <w:vAlign w:val="center"/>
          </w:tcPr>
          <w:p>
            <w:pPr>
              <w:pStyle w:val="TableContents"/>
              <w:bidi w:val="0"/>
              <w:spacing w:before="0" w:after="1"/>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7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10,986</w:t>
            </w:r>
          </w:p>
        </w:tc>
      </w:tr>
      <w:tr>
        <w:trPr/>
        <w:tc>
          <w:tcPr>
            <w:tcW w:w="885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6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2"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40,219</w:t>
            </w:r>
          </w:p>
        </w:tc>
      </w:tr>
    </w:tbl>
    <w:p>
      <w:pPr>
        <w:pStyle w:val="TextBody"/>
        <w:bidi w:val="0"/>
        <w:spacing w:before="0" w:after="0"/>
        <w:ind w:left="0" w:right="0" w:hanging="0"/>
        <w:jc w:val="left"/>
        <w:rPr/>
      </w:pPr>
      <w:r>
        <w:rPr/>
        <w:t>​</w:t>
      </w:r>
    </w:p>
    <w:p>
      <w:pPr>
        <w:pStyle w:val="TextBody"/>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 xml:space="preserve">During the three and six months ended June 30, 2026, the Company recognized revenue of $0.6 million and $1.5 million, respectively, and during the three and six months ended June 30, 2025, the Company recognized revenue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$1.0 million and $1.9 million, respectively, in connection with the Bayer Collaboration Agreement. As of June 30, 2026 and December 31, 2025, the Company recorded deferred revenue of $33.2 million and $34.6 million, respectively, in connection with the Bayer Collaboration Agreement. In July 2026, Bayer provided the Company with a notice of termination of the Bayer Collaboration Agreement, effective in September 2026. As a result, the Company expects to recognize the remaining deferred revenue under the arrangement of approximately $33.2 million in the third quarter of 2026.</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Novartis Collaboration Agreement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March 27, 2023, the Company and Novartis entered into a collaboration and license agreement (the “Novartis Collaboration Agreement”), pursuant to which the parties agreed to perform research and discovery activities under a mutually agreed upon research plan during a research term of up to a specified number of years per target program to generate compounds incorporating optimized Bicycle constructs directed to two specified targets, under the oversight of a joint steering committee. </w:t>
      </w:r>
    </w:p>
    <w:p>
      <w:pPr>
        <w:pStyle w:val="TextBody"/>
        <w:shd w:fill="FFFFFF" w:val="clear"/>
        <w:bidi w:val="0"/>
        <w:spacing w:before="0" w:after="0"/>
        <w:ind w:left="0" w:right="0" w:firstLine="72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November 2025, Novartis provided the Company with a notice of termination of the Novartis Collaboration Agreement in its entirety, effective in February 2026 after a contractual 90-day notice period. Management exercised significant judgment in concluding that the notice of termination should be accounted for as a contract modification in the fourth quarter of 2025, as the notice of termination reduces the scope of the arrangement. Management concluded that the notice of termination substantively removed all remaining performance obligations, including remaining material rights, as of the date of the notice as Novartis did not benefit from any remaining activities performed during the notice period and the likelihood of exercising any remaining options was remote. As a result, the Company recognized the remaining unrecognized transaction price as revenue on the date of the notice of termination.</w:t>
      </w:r>
    </w:p>
    <w:p>
      <w:pPr>
        <w:pStyle w:val="TextBody"/>
        <w:shd w:fill="FFFFFF" w:val="clear"/>
        <w:bidi w:val="0"/>
        <w:spacing w:before="0" w:after="0"/>
        <w:ind w:left="0" w:right="0" w:firstLine="72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did not recognize any revenue in connection with the Novartis Collaboration Agreement during the three and six months ended June 30, 2026. During the three and six months ended June 30, 2025, the Company recognized revenue of $1.5 million and $2.9 million, respectively, in connection with the Novartis Collaboration Agreement. As of each of June 30, 2026 and December 31, 2025, the Company recorded zero deferred revenue in connection with the Novartis Collaboration Agreement. </w:t>
      </w:r>
    </w:p>
    <w:p>
      <w:pPr>
        <w:pStyle w:val="TextBody"/>
        <w:shd w:fill="FFFFFF" w:val="clear"/>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Ionis Agreements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July 9, 2021, the Company and Ionis entered into a collaboration and license agreement, which was subsequently amended in 2021, 2022, 2023 and 2024 (collectively the agreement and all amendments, the “Ionis Agreements”). Pursuant to the Ionis Agreements, the Company granted to Ionis a worldwide exclusive license under the Company’s relevant technology to research, develop, manufacture and commercialize products incorporating Bicycle peptides directed to the protein coded by the gene TFRC1 (transferrin receptor) (“TfR1 Bicycle” molecules) intended for the delivery of oligonucleotide compounds directed to targets selected by Ionis for diagnostic, therapeutic, prophylactic and preventative uses in humans. Each party was responsible for optimization of such TfR1 Bicycle molecules and other research and discovery activities related to TfR1 Bicycle molecules, as specified by a research plan which was substantially completed in the second quarter of 2024, and thereafter Ionis is responsible for all future research, development, manufacture and commercialization activities.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of June 30, 2026, the combined licenses and research and discovery performance obligation is complete, and all revenue allocated to the combined licenses and research and discovery performance obligation has been recognized. The Company did not recognize any revenue in connection with the Ionis Agreements during the three and six months ended June 30, 2026 and 2025. As of each of June 30, 2026, and December 31, 2025, the Company recorded deferred revenue of $3.8 million in connection with the Ionis Agreements. The remaining revenue allocated to material rights is recorded as deferred revenue and the Company expects to recognize revenue upon exercise of or upon expiry of the respective option after approximately </w:t>
      </w:r>
      <w:r>
        <w:rPr>
          <w:rFonts w:ascii="Times New Roman;Times;serif" w:hAnsi="Times New Roman;Times;serif"/>
          <w:b w:val="false"/>
          <w:i w:val="false"/>
          <w:caps w:val="false"/>
          <w:smallCaps w:val="false"/>
          <w:sz w:val="20"/>
        </w:rPr>
        <w:t>four</w:t>
      </w:r>
      <w:r>
        <w:rPr>
          <w:rFonts w:ascii="Times New Roman;Times;serif" w:hAnsi="Times New Roman;Times;serif"/>
          <w:sz w:val="20"/>
        </w:rPr>
        <w:t xml:space="preserve"> to seven years from contract execution. </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bookmarkStart w:id="788" w:name="Tc_WcXT-Pl6lE2hDG0LznWn9g_10_14"/>
      <w:bookmarkStart w:id="789" w:name="Tc_MAbQdnnm_EeR0i-AZPVo_g_10_11"/>
      <w:bookmarkStart w:id="790" w:name="Tc_G-OAtsxj3kSvKzJSs0z4Jg_10_8"/>
      <w:bookmarkStart w:id="791" w:name="Tc_kELo5XGtpk2-XCAghS0cYA_10_5"/>
      <w:bookmarkStart w:id="792" w:name="Tc_PpaVeVfCpESEsPn__TBCUQ_10_2"/>
      <w:bookmarkStart w:id="793" w:name="Tc_fRekusa5nUqmdFg4gCcv9w_10_0"/>
      <w:bookmarkStart w:id="794" w:name="Tc_tN38gSbb2k60XXGbEwC7eA_9_0"/>
      <w:bookmarkStart w:id="795" w:name="Tc_AYwqH5pd70eVsmK1ww1_5g_8_0"/>
      <w:bookmarkStart w:id="796" w:name="Tc__0hk_O1Plk2GDohPJnE1TQ_7_0"/>
      <w:bookmarkStart w:id="797" w:name="Tc_JRcB-mLt9kuWdEMi6kLgSg_6_14"/>
      <w:bookmarkStart w:id="798" w:name="Tc_IM4ISdfUQUG9QzMQyvCIPg_6_11"/>
      <w:bookmarkStart w:id="799" w:name="Tc_t32wbi_sxU6i34nWvxu5GQ_6_8"/>
      <w:bookmarkStart w:id="800" w:name="Tc_8O8_R_oAMEG20LMqNdUjJg_6_5"/>
      <w:bookmarkStart w:id="801" w:name="Tc_y7ZyS8AaA0ier51qmh7ynA_6_2"/>
      <w:bookmarkStart w:id="802" w:name="Tc_jp5HOX-saEO3GKpZp0tnzA_6_0"/>
      <w:bookmarkStart w:id="803" w:name="Tc_lxMT17Dk7UqZYemFas7zDQ_5_0"/>
      <w:bookmarkStart w:id="804" w:name="Tc_lyrhE67rTE6MxZxbXmErtQ_4_0"/>
      <w:bookmarkStart w:id="805" w:name="Tc_OZCo0fjM8UKeQDfxYTdFvQ_3_14"/>
      <w:bookmarkStart w:id="806" w:name="Tc_VNE48-_ISk2ssuPdTklccA_3_11"/>
      <w:bookmarkStart w:id="807" w:name="Tc_zvq0Q1LtLkWsSfRXPZ4-3Q_3_8"/>
      <w:bookmarkStart w:id="808" w:name="Tc_Aa3D_qCLskuPQrhMuS6a2g_3_5"/>
      <w:bookmarkStart w:id="809" w:name="Tc_lYG1abHw-Uud_x-r6E7T0w_3_2"/>
      <w:bookmarkStart w:id="810" w:name="Tc_7V9o-80SykWSVTT8immUmw_2_14"/>
      <w:bookmarkStart w:id="811" w:name="Tc_wLFxR6hnm0qPATxL4QA9qw_2_11"/>
      <w:bookmarkStart w:id="812" w:name="Tc_2wGLJf63Wk6A5NrWBw5kag_2_2"/>
      <w:bookmarkStart w:id="813" w:name="Tc_5wt9Ciy91kKTsbxCJIwMkQ_1_14"/>
      <w:bookmarkStart w:id="814" w:name="Tc_lqbxgQ0lCU6yla3srCRn6Q_1_11"/>
      <w:bookmarkStart w:id="815" w:name="Tc_1vhORN7YEUWnImLsTLvbsA_1_2"/>
      <w:bookmarkStart w:id="816" w:name="_d15a0d65_b0e4_4f0a_be33_e077d0f2c0bf"/>
      <w:bookmarkStart w:id="817" w:name="Tc_QKoCeX52x0yTLCcIZfxTSQ_8_14"/>
      <w:bookmarkStart w:id="818" w:name="Tc_j8nw2Qckjky6YZakn6k6DQ_8_11"/>
      <w:bookmarkStart w:id="819" w:name="Tc_PYIlghRq3kiv2qaftPcDlQ_8_8"/>
      <w:bookmarkStart w:id="820" w:name="Tc_Ohyp_NxQnE6__oRJpVTN-Q_8_5"/>
      <w:bookmarkStart w:id="821" w:name="Tc_6Vybfw7dmkihoNzhq0zE6Q_8_2"/>
      <w:bookmarkStart w:id="822" w:name="Tc_MZwDe4nbHUaeZqxXyL2sHQ_8_0"/>
      <w:bookmarkStart w:id="823" w:name="Tc_-4BDHE91OUyONXKR33Qdsg_7_0"/>
      <w:bookmarkStart w:id="824" w:name="Tc_aeiR9vOL-0-pVT28jFGqXg_6_14"/>
      <w:bookmarkStart w:id="825" w:name="Tc_3SXvUvjyy0Cl_A08SQYlYw_6_11"/>
      <w:bookmarkStart w:id="826" w:name="Tc_SBs2IrpMPUiNYj8tidJ4DQ_6_8"/>
      <w:bookmarkStart w:id="827" w:name="Tc_fOmPJUbm_0GsiyuwOt0L6A_6_5"/>
      <w:bookmarkStart w:id="828" w:name="Tc___vRMGm_vEWlGLNRr2lQzQ_6_2"/>
      <w:bookmarkStart w:id="829" w:name="Tc_lcPPkotkzUKok7N7_IbPVQ_6_0"/>
      <w:bookmarkStart w:id="830" w:name="Tc_e7imrOodwEOeGtCNEpOCyQ_5_0"/>
      <w:bookmarkStart w:id="831" w:name="Tc_VhXQTShOyUyVovpZjJnGHA_4_0"/>
      <w:bookmarkStart w:id="832" w:name="Tc_uLywi_XaoUqeSiBR-LidzA_3_14"/>
      <w:bookmarkStart w:id="833" w:name="Tc_7-9IRju3n0iouHdzE1O8Yw_3_11"/>
      <w:bookmarkStart w:id="834" w:name="Tc_GUBZi4MXSES_yyJy9s3hxw_3_8"/>
      <w:bookmarkStart w:id="835" w:name="Tc_xujpr2Zw-E2jOTHg9yTXAw_3_5"/>
      <w:bookmarkStart w:id="836" w:name="Tc_GJnp-W8yQUSdcWuGKcDX8A_3_2"/>
      <w:bookmarkStart w:id="837" w:name="Tc_QHTZL0wrnU2o12wrn54U_Q_2_14"/>
      <w:bookmarkStart w:id="838" w:name="Tc_eGkkw83HVU2_Kc5sltU7XA_2_11"/>
      <w:bookmarkStart w:id="839" w:name="Tc_bajF0ZdicU-dwbzmWGTPpg_2_2"/>
      <w:bookmarkStart w:id="840" w:name="Tc_6GIobz3phEOfVAh2DVn_Gw_1_14"/>
      <w:bookmarkStart w:id="841" w:name="Tc_WR6B1LfDhkq92tLKSmTdKQ_1_11"/>
      <w:bookmarkStart w:id="842" w:name="Tc_cjE2ytYK6EGoiCwPjdSSvQ_1_2"/>
      <w:bookmarkStart w:id="843" w:name="_7f6b660c_9aed_4824_8cc3_8f9371d8e9ca"/>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r>
        <w:rPr>
          <w:rFonts w:ascii="Times New Roman;Times;serif" w:hAnsi="Times New Roman;Times;serif"/>
          <w:b/>
          <w:i/>
          <w:sz w:val="20"/>
        </w:rPr>
        <w:t>Genentech Collaboration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February 21, 2020, the Company entered into a Discovery Collaboration and License Agreement, as amended from time to time (as amended, the “Genentech Collaboration Agreement”), with Genentech. The collaboration focused on the discovery and development of Bicycle peptides directed to biological targets selected by Genentech and aimed at developing up to four potential development candidates against multiple immuno-oncology targets (“Genentech Collaboration Programs” #1 through #4) suitable for Genentech to advance into further development and commercialization, governed by a joint research committee. Under the Genentech Collaboration Agreement, Genentech also had the option to have the Company perform initial pre-clinical development and optimization activities in exchange for an additional specified milestone payment in the mid single-digit millions for each Genentech Collaboration Program (the “LSR Go Option”).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January 2025, Genentech provided the Company with a notice of termination for Genentech Collaboration Program #4, effective in March 2025, and the Company recognized revenue of $7.5 million during the three months ended March 31, 2025. In July 2025, Genentech provided the Company with a notice of termination of the Genentech Collaboration Agreement, effective in August 2025.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did not recognize any revenue in connection with the Genentech Collaboration Agreement during either of the three or six months ended June 30, 2026. During the three and six months ended June 30, 2025, the Company recognized revenue of $0.4 million and $8.1 million, respectively, in connection with the Genentech Collaboration Agreement. As of each of June 30, 2026 and December 31, 2025, the Company recorded zero deferred revenue in connection with the Genentech Collaboration Agreement.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Summary of Contract Assets and Liabilities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presents changes in the balances of the Company’s contract liabilities (in thousands):</w:t>
      </w:r>
    </w:p>
    <w:tbl>
      <w:tblPr>
        <w:tblW w:w="10106" w:type="dxa"/>
        <w:jc w:val="left"/>
        <w:tblInd w:w="0" w:type="dxa"/>
        <w:tblLayout w:type="fixed"/>
        <w:tblCellMar>
          <w:top w:w="0" w:type="dxa"/>
          <w:left w:w="0" w:type="dxa"/>
          <w:bottom w:w="0" w:type="dxa"/>
          <w:right w:w="0" w:type="dxa"/>
        </w:tblCellMar>
      </w:tblPr>
      <w:tblGrid>
        <w:gridCol w:w="3136"/>
        <w:gridCol w:w="346"/>
        <w:gridCol w:w="361"/>
        <w:gridCol w:w="1080"/>
        <w:gridCol w:w="346"/>
        <w:gridCol w:w="278"/>
        <w:gridCol w:w="518"/>
        <w:gridCol w:w="346"/>
        <w:gridCol w:w="226"/>
        <w:gridCol w:w="691"/>
        <w:gridCol w:w="346"/>
        <w:gridCol w:w="259"/>
        <w:gridCol w:w="552"/>
        <w:gridCol w:w="346"/>
        <w:gridCol w:w="286"/>
        <w:gridCol w:w="989"/>
      </w:tblGrid>
      <w:tr>
        <w:trPr/>
        <w:tc>
          <w:tcPr>
            <w:tcW w:w="31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19710" cy="175260"/>
                      <wp:effectExtent l="0" t="0" r="0" b="0"/>
                      <wp:wrapNone/>
                      <wp:docPr id="130" name="Frame1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29235" cy="175260"/>
                      <wp:effectExtent l="0" t="0" r="0" b="0"/>
                      <wp:wrapNone/>
                      <wp:docPr id="131" name="Frame13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85800" cy="175260"/>
                      <wp:effectExtent l="0" t="0" r="0" b="0"/>
                      <wp:wrapNone/>
                      <wp:docPr id="132" name="Frame132"/>
                      <a:graphic xmlns:a="http://schemas.openxmlformats.org/drawingml/2006/main">
                        <a:graphicData uri="http://schemas.microsoft.com/office/word/2010/wordprocessingShape">
                          <wps:wsp>
                            <wps:cNvSpPr txBox="1"/>
                            <wps:spPr>
                              <a:xfrm>
                                <a:off x="0" y="0"/>
                                <a:ext cx="685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19710" cy="175260"/>
                      <wp:effectExtent l="0" t="0" r="0" b="0"/>
                      <wp:wrapNone/>
                      <wp:docPr id="133" name="Frame1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76530" cy="175260"/>
                      <wp:effectExtent l="0" t="0" r="0" b="0"/>
                      <wp:wrapNone/>
                      <wp:docPr id="134" name="Frame134"/>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328930" cy="175260"/>
                      <wp:effectExtent l="0" t="0" r="0" b="0"/>
                      <wp:wrapNone/>
                      <wp:docPr id="135" name="Frame135"/>
                      <a:graphic xmlns:a="http://schemas.openxmlformats.org/drawingml/2006/main">
                        <a:graphicData uri="http://schemas.microsoft.com/office/word/2010/wordprocessingShape">
                          <wps:wsp>
                            <wps:cNvSpPr txBox="1"/>
                            <wps:spPr>
                              <a:xfrm>
                                <a:off x="0" y="0"/>
                                <a:ext cx="328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9710" cy="175260"/>
                      <wp:effectExtent l="0" t="0" r="0" b="0"/>
                      <wp:wrapNone/>
                      <wp:docPr id="136" name="Frame1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43510" cy="175260"/>
                      <wp:effectExtent l="0" t="0" r="0" b="0"/>
                      <wp:wrapNone/>
                      <wp:docPr id="137" name="Frame13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438785" cy="175260"/>
                      <wp:effectExtent l="0" t="0" r="0" b="0"/>
                      <wp:wrapNone/>
                      <wp:docPr id="138" name="Frame13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19710" cy="175260"/>
                      <wp:effectExtent l="0" t="0" r="0" b="0"/>
                      <wp:wrapNone/>
                      <wp:docPr id="139" name="Frame1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64465" cy="175260"/>
                      <wp:effectExtent l="0" t="0" r="0" b="0"/>
                      <wp:wrapNone/>
                      <wp:docPr id="140" name="Frame140"/>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350520" cy="175260"/>
                      <wp:effectExtent l="0" t="0" r="0" b="0"/>
                      <wp:wrapNone/>
                      <wp:docPr id="141" name="Frame141"/>
                      <a:graphic xmlns:a="http://schemas.openxmlformats.org/drawingml/2006/main">
                        <a:graphicData uri="http://schemas.microsoft.com/office/word/2010/wordprocessingShape">
                          <wps:wsp>
                            <wps:cNvSpPr txBox="1"/>
                            <wps:spPr>
                              <a:xfrm>
                                <a:off x="0" y="0"/>
                                <a:ext cx="350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19710" cy="175260"/>
                      <wp:effectExtent l="0" t="0" r="0" b="0"/>
                      <wp:wrapNone/>
                      <wp:docPr id="142" name="Frame1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81610" cy="175260"/>
                      <wp:effectExtent l="0" t="0" r="0" b="0"/>
                      <wp:wrapNone/>
                      <wp:docPr id="143" name="Frame143"/>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28015" cy="175260"/>
                      <wp:effectExtent l="0" t="0" r="0" b="0"/>
                      <wp:wrapNone/>
                      <wp:docPr id="144" name="Frame144"/>
                      <a:graphic xmlns:a="http://schemas.openxmlformats.org/drawingml/2006/main">
                        <a:graphicData uri="http://schemas.microsoft.com/office/word/2010/wordprocessingShape">
                          <wps:wsp>
                            <wps:cNvSpPr txBox="1"/>
                            <wps:spPr>
                              <a:xfrm>
                                <a:off x="0" y="0"/>
                                <a:ext cx="6280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Beginning Balance</w:t>
            </w:r>
          </w:p>
        </w:tc>
        <w:tc>
          <w:tcPr>
            <w:tcW w:w="346" w:type="dxa"/>
            <w:tcBorders/>
            <w:vAlign w:val="center"/>
          </w:tcPr>
          <w:p>
            <w:pPr>
              <w:pStyle w:val="TableContents"/>
              <w:bidi w:val="0"/>
              <w:spacing w:before="0" w:after="1"/>
              <w:ind w:left="0" w:right="0" w:hanging="0"/>
              <w:jc w:val="left"/>
              <w:rPr/>
            </w:pPr>
            <w:r>
              <w:rPr/>
              <w:t>​</w:t>
            </w:r>
          </w:p>
        </w:tc>
        <w:tc>
          <w:tcPr>
            <w:tcW w:w="796"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17"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Impact of</w:t>
            </w:r>
          </w:p>
        </w:tc>
        <w:tc>
          <w:tcPr>
            <w:tcW w:w="346" w:type="dxa"/>
            <w:tcBorders/>
            <w:vAlign w:val="center"/>
          </w:tcPr>
          <w:p>
            <w:pPr>
              <w:pStyle w:val="TableContents"/>
              <w:bidi w:val="0"/>
              <w:spacing w:before="0" w:after="1"/>
              <w:ind w:left="0" w:right="0" w:hanging="0"/>
              <w:jc w:val="left"/>
              <w:rPr/>
            </w:pPr>
            <w:r>
              <w:rPr/>
              <w:t>​</w:t>
            </w:r>
          </w:p>
        </w:tc>
        <w:tc>
          <w:tcPr>
            <w:tcW w:w="127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Ending Balance</w:t>
            </w:r>
          </w:p>
        </w:tc>
      </w:tr>
      <w:tr>
        <w:trPr/>
        <w:tc>
          <w:tcPr>
            <w:tcW w:w="31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January 1,</w:t>
            </w:r>
          </w:p>
        </w:tc>
        <w:tc>
          <w:tcPr>
            <w:tcW w:w="346" w:type="dxa"/>
            <w:tcBorders/>
            <w:vAlign w:val="center"/>
          </w:tcPr>
          <w:p>
            <w:pPr>
              <w:pStyle w:val="TableContents"/>
              <w:bidi w:val="0"/>
              <w:spacing w:before="0" w:after="1"/>
              <w:ind w:left="0" w:right="0" w:hanging="0"/>
              <w:jc w:val="left"/>
              <w:rPr/>
            </w:pPr>
            <w:r>
              <w:rPr/>
              <w:t>​</w:t>
            </w:r>
          </w:p>
        </w:tc>
        <w:tc>
          <w:tcPr>
            <w:tcW w:w="796"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17"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Exchange</w:t>
            </w:r>
          </w:p>
        </w:tc>
        <w:tc>
          <w:tcPr>
            <w:tcW w:w="346" w:type="dxa"/>
            <w:tcBorders/>
            <w:vAlign w:val="center"/>
          </w:tcPr>
          <w:p>
            <w:pPr>
              <w:pStyle w:val="TableContents"/>
              <w:bidi w:val="0"/>
              <w:spacing w:before="0" w:after="1"/>
              <w:ind w:left="0" w:right="0" w:hanging="0"/>
              <w:jc w:val="left"/>
              <w:rPr/>
            </w:pPr>
            <w:r>
              <w:rPr/>
              <w:t>​</w:t>
            </w:r>
          </w:p>
        </w:tc>
        <w:tc>
          <w:tcPr>
            <w:tcW w:w="127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31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4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Additions</w:t>
            </w:r>
          </w:p>
        </w:tc>
        <w:tc>
          <w:tcPr>
            <w:tcW w:w="346" w:type="dxa"/>
            <w:tcBorders/>
            <w:vAlign w:val="center"/>
          </w:tcPr>
          <w:p>
            <w:pPr>
              <w:pStyle w:val="TableContents"/>
              <w:bidi w:val="0"/>
              <w:spacing w:before="0" w:after="1"/>
              <w:ind w:left="0" w:right="0" w:hanging="0"/>
              <w:jc w:val="left"/>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Deductions</w:t>
            </w:r>
          </w:p>
        </w:tc>
        <w:tc>
          <w:tcPr>
            <w:tcW w:w="346" w:type="dxa"/>
            <w:tcBorders/>
            <w:vAlign w:val="center"/>
          </w:tcPr>
          <w:p>
            <w:pPr>
              <w:pStyle w:val="TableContents"/>
              <w:bidi w:val="0"/>
              <w:spacing w:before="0" w:after="1"/>
              <w:ind w:left="0" w:right="0" w:hanging="0"/>
              <w:jc w:val="left"/>
              <w:rPr/>
            </w:pPr>
            <w:r>
              <w:rPr/>
              <w:t>  ​ ​ ​</w:t>
            </w:r>
          </w:p>
        </w:tc>
        <w:tc>
          <w:tcPr>
            <w:tcW w:w="8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Rates</w:t>
            </w:r>
          </w:p>
        </w:tc>
        <w:tc>
          <w:tcPr>
            <w:tcW w:w="346" w:type="dxa"/>
            <w:tcBorders/>
            <w:vAlign w:val="center"/>
          </w:tcPr>
          <w:p>
            <w:pPr>
              <w:pStyle w:val="TableContents"/>
              <w:bidi w:val="0"/>
              <w:spacing w:before="0" w:after="1"/>
              <w:ind w:left="0" w:right="0" w:hanging="0"/>
              <w:jc w:val="left"/>
              <w:rPr/>
            </w:pPr>
            <w:r>
              <w:rPr/>
              <w:t>  ​ ​ ​</w:t>
            </w:r>
          </w:p>
        </w:tc>
        <w:tc>
          <w:tcPr>
            <w:tcW w:w="12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31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Contract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  ​</w:t>
            </w:r>
          </w:p>
        </w:tc>
        <w:tc>
          <w:tcPr>
            <w:tcW w:w="1080"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pPr>
            <w:r>
              <w:rPr/>
              <w:t>  ​</w:t>
            </w:r>
          </w:p>
        </w:tc>
        <w:tc>
          <w:tcPr>
            <w:tcW w:w="518"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  ​</w:t>
            </w:r>
          </w:p>
        </w:tc>
        <w:tc>
          <w:tcPr>
            <w:tcW w:w="552"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  ​</w:t>
            </w:r>
          </w:p>
        </w:tc>
        <w:tc>
          <w:tcPr>
            <w:tcW w:w="989" w:type="dxa"/>
            <w:tcBorders/>
            <w:shd w:fill="CCEEFF" w:val="clear"/>
            <w:vAlign w:val="center"/>
          </w:tcPr>
          <w:p>
            <w:pPr>
              <w:pStyle w:val="TableContents"/>
              <w:bidi w:val="0"/>
              <w:spacing w:before="0" w:after="1"/>
              <w:ind w:left="0" w:right="0" w:hanging="0"/>
              <w:jc w:val="center"/>
              <w:rPr/>
            </w:pPr>
            <w:r>
              <w:rPr/>
              <w:t>​</w:t>
            </w:r>
          </w:p>
        </w:tc>
      </w:tr>
      <w:tr>
        <w:trPr/>
        <w:tc>
          <w:tcPr>
            <w:tcW w:w="31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46"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  ​</w:t>
            </w:r>
          </w:p>
        </w:tc>
        <w:tc>
          <w:tcPr>
            <w:tcW w:w="108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  ​</w:t>
            </w:r>
          </w:p>
        </w:tc>
        <w:tc>
          <w:tcPr>
            <w:tcW w:w="518"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  ​</w:t>
            </w:r>
          </w:p>
        </w:tc>
        <w:tc>
          <w:tcPr>
            <w:tcW w:w="55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  ​</w:t>
            </w:r>
          </w:p>
        </w:tc>
        <w:tc>
          <w:tcPr>
            <w:tcW w:w="989" w:type="dxa"/>
            <w:tcBorders/>
            <w:vAlign w:val="center"/>
          </w:tcPr>
          <w:p>
            <w:pPr>
              <w:pStyle w:val="TableContents"/>
              <w:bidi w:val="0"/>
              <w:spacing w:before="0" w:after="1"/>
              <w:ind w:left="0" w:right="0" w:hanging="0"/>
              <w:jc w:val="center"/>
              <w:rPr/>
            </w:pPr>
            <w:r>
              <w:rPr/>
              <w:t>​</w:t>
            </w:r>
          </w:p>
        </w:tc>
      </w:tr>
      <w:tr>
        <w:trPr/>
        <w:tc>
          <w:tcPr>
            <w:tcW w:w="31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Bayer collaboration deferred revenue</w:t>
            </w:r>
          </w:p>
        </w:tc>
        <w:tc>
          <w:tcPr>
            <w:tcW w:w="346"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34,629</w:t>
            </w:r>
          </w:p>
        </w:tc>
        <w:tc>
          <w:tcPr>
            <w:tcW w:w="34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567</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(1,516)</w:t>
            </w:r>
          </w:p>
        </w:tc>
        <w:tc>
          <w:tcPr>
            <w:tcW w:w="346"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(506)</w:t>
            </w:r>
          </w:p>
        </w:tc>
        <w:tc>
          <w:tcPr>
            <w:tcW w:w="346"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33,174</w:t>
            </w:r>
          </w:p>
        </w:tc>
      </w:tr>
      <w:tr>
        <w:trPr/>
        <w:tc>
          <w:tcPr>
            <w:tcW w:w="31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Ionis collaboration deferred revenue</w:t>
            </w:r>
          </w:p>
        </w:tc>
        <w:tc>
          <w:tcPr>
            <w:tcW w:w="346" w:type="dxa"/>
            <w:tcBorders/>
            <w:vAlign w:val="center"/>
          </w:tcPr>
          <w:p>
            <w:pPr>
              <w:pStyle w:val="TableContents"/>
              <w:bidi w:val="0"/>
              <w:spacing w:before="0" w:after="1"/>
              <w:ind w:left="0" w:right="0" w:hanging="0"/>
              <w:jc w:val="left"/>
              <w:rPr/>
            </w:pPr>
            <w:r>
              <w:rPr/>
              <w:t>​</w:t>
            </w:r>
          </w:p>
        </w:tc>
        <w:tc>
          <w:tcPr>
            <w:tcW w:w="36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8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3,840</w:t>
            </w:r>
          </w:p>
        </w:tc>
        <w:tc>
          <w:tcPr>
            <w:tcW w:w="346" w:type="dxa"/>
            <w:tcBorders/>
            <w:vAlign w:val="center"/>
          </w:tcPr>
          <w:p>
            <w:pPr>
              <w:pStyle w:val="TableContents"/>
              <w:bidi w:val="0"/>
              <w:spacing w:before="0" w:after="1"/>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5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c>
          <w:tcPr>
            <w:tcW w:w="346" w:type="dxa"/>
            <w:tcBorders/>
            <w:vAlign w:val="center"/>
          </w:tcPr>
          <w:p>
            <w:pPr>
              <w:pStyle w:val="TableContents"/>
              <w:bidi w:val="0"/>
              <w:spacing w:before="0" w:after="1"/>
              <w:ind w:left="0" w:right="0" w:hanging="0"/>
              <w:jc w:val="left"/>
              <w:rPr/>
            </w:pPr>
            <w:r>
              <w:rPr/>
              <w:t>​</w:t>
            </w:r>
          </w:p>
        </w:tc>
        <w:tc>
          <w:tcPr>
            <w:tcW w:w="28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9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3,782</w:t>
            </w:r>
          </w:p>
        </w:tc>
      </w:tr>
      <w:tr>
        <w:trPr/>
        <w:tc>
          <w:tcPr>
            <w:tcW w:w="31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deferred revenue</w:t>
            </w:r>
          </w:p>
        </w:tc>
        <w:tc>
          <w:tcPr>
            <w:tcW w:w="346" w:type="dxa"/>
            <w:tcBorders/>
            <w:shd w:fill="CCEEFF" w:val="clear"/>
            <w:vAlign w:val="center"/>
          </w:tcPr>
          <w:p>
            <w:pPr>
              <w:pStyle w:val="TableContents"/>
              <w:bidi w:val="0"/>
              <w:spacing w:before="0" w:after="1"/>
              <w:ind w:left="0" w:right="0" w:hanging="0"/>
              <w:jc w:val="left"/>
              <w:rPr/>
            </w:pPr>
            <w:r>
              <w:rPr/>
              <w:t>​</w:t>
            </w:r>
          </w:p>
        </w:tc>
        <w:tc>
          <w:tcPr>
            <w:tcW w:w="36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38,469</w:t>
            </w:r>
          </w:p>
        </w:tc>
        <w:tc>
          <w:tcPr>
            <w:tcW w:w="346" w:type="dxa"/>
            <w:tcBorders/>
            <w:shd w:fill="CCEEFF" w:val="clear"/>
            <w:vAlign w:val="center"/>
          </w:tcPr>
          <w:p>
            <w:pPr>
              <w:pStyle w:val="TableContents"/>
              <w:bidi w:val="0"/>
              <w:spacing w:before="0" w:after="1"/>
              <w:ind w:left="0" w:right="0" w:hanging="0"/>
              <w:jc w:val="left"/>
              <w:rPr/>
            </w:pPr>
            <w:r>
              <w:rPr/>
              <w:t>​</w:t>
            </w:r>
          </w:p>
        </w:tc>
        <w:tc>
          <w:tcPr>
            <w:tcW w:w="27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1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567</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(1,516)</w:t>
            </w:r>
          </w:p>
        </w:tc>
        <w:tc>
          <w:tcPr>
            <w:tcW w:w="346" w:type="dxa"/>
            <w:tcBorders/>
            <w:shd w:fill="CCEEFF" w:val="clear"/>
            <w:vAlign w:val="center"/>
          </w:tcPr>
          <w:p>
            <w:pPr>
              <w:pStyle w:val="TableContents"/>
              <w:bidi w:val="0"/>
              <w:spacing w:before="0" w:after="1"/>
              <w:ind w:left="0" w:right="0" w:hanging="0"/>
              <w:jc w:val="left"/>
              <w:rPr/>
            </w:pPr>
            <w:r>
              <w:rPr/>
              <w:t>​</w:t>
            </w:r>
          </w:p>
        </w:tc>
        <w:tc>
          <w:tcPr>
            <w:tcW w:w="25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(564)</w:t>
            </w:r>
          </w:p>
        </w:tc>
        <w:tc>
          <w:tcPr>
            <w:tcW w:w="346" w:type="dxa"/>
            <w:tcBorders/>
            <w:shd w:fill="CCEEFF" w:val="clear"/>
            <w:vAlign w:val="center"/>
          </w:tcPr>
          <w:p>
            <w:pPr>
              <w:pStyle w:val="TableContents"/>
              <w:bidi w:val="0"/>
              <w:spacing w:before="0" w:after="1"/>
              <w:ind w:left="0" w:right="0" w:hanging="0"/>
              <w:jc w:val="left"/>
              <w:rPr/>
            </w:pPr>
            <w:r>
              <w:rPr/>
              <w:t>​</w:t>
            </w:r>
          </w:p>
        </w:tc>
        <w:tc>
          <w:tcPr>
            <w:tcW w:w="28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9"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36,956</w:t>
            </w:r>
          </w:p>
        </w:tc>
      </w:tr>
    </w:tbl>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177"/>
        <w:gridCol w:w="346"/>
        <w:gridCol w:w="323"/>
        <w:gridCol w:w="1118"/>
        <w:gridCol w:w="346"/>
        <w:gridCol w:w="278"/>
        <w:gridCol w:w="518"/>
        <w:gridCol w:w="346"/>
        <w:gridCol w:w="226"/>
        <w:gridCol w:w="786"/>
        <w:gridCol w:w="346"/>
        <w:gridCol w:w="229"/>
        <w:gridCol w:w="582"/>
        <w:gridCol w:w="346"/>
        <w:gridCol w:w="274"/>
        <w:gridCol w:w="964"/>
      </w:tblGrid>
      <w:tr>
        <w:trPr/>
        <w:tc>
          <w:tcPr>
            <w:tcW w:w="317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9710" cy="175260"/>
                      <wp:effectExtent l="0" t="0" r="0" b="0"/>
                      <wp:wrapNone/>
                      <wp:docPr id="145" name="Frame1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05105" cy="175260"/>
                      <wp:effectExtent l="0" t="0" r="0" b="0"/>
                      <wp:wrapNone/>
                      <wp:docPr id="146" name="Frame146"/>
                      <a:graphic xmlns:a="http://schemas.openxmlformats.org/drawingml/2006/main">
                        <a:graphicData uri="http://schemas.microsoft.com/office/word/2010/wordprocessingShape">
                          <wps:wsp>
                            <wps:cNvSpPr txBox="1"/>
                            <wps:spPr>
                              <a:xfrm>
                                <a:off x="0" y="0"/>
                                <a:ext cx="205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709930" cy="175260"/>
                      <wp:effectExtent l="0" t="0" r="0" b="0"/>
                      <wp:wrapNone/>
                      <wp:docPr id="147" name="Frame147"/>
                      <a:graphic xmlns:a="http://schemas.openxmlformats.org/drawingml/2006/main">
                        <a:graphicData uri="http://schemas.microsoft.com/office/word/2010/wordprocessingShape">
                          <wps:wsp>
                            <wps:cNvSpPr txBox="1"/>
                            <wps:spPr>
                              <a:xfrm>
                                <a:off x="0" y="0"/>
                                <a:ext cx="709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19710" cy="175260"/>
                      <wp:effectExtent l="0" t="0" r="0" b="0"/>
                      <wp:wrapNone/>
                      <wp:docPr id="148" name="Frame1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76530" cy="175260"/>
                      <wp:effectExtent l="0" t="0" r="0" b="0"/>
                      <wp:wrapNone/>
                      <wp:docPr id="149" name="Frame149"/>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328930" cy="175260"/>
                      <wp:effectExtent l="0" t="0" r="0" b="0"/>
                      <wp:wrapNone/>
                      <wp:docPr id="150" name="Frame150"/>
                      <a:graphic xmlns:a="http://schemas.openxmlformats.org/drawingml/2006/main">
                        <a:graphicData uri="http://schemas.microsoft.com/office/word/2010/wordprocessingShape">
                          <wps:wsp>
                            <wps:cNvSpPr txBox="1"/>
                            <wps:spPr>
                              <a:xfrm>
                                <a:off x="0" y="0"/>
                                <a:ext cx="328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19710" cy="175260"/>
                      <wp:effectExtent l="0" t="0" r="0" b="0"/>
                      <wp:wrapNone/>
                      <wp:docPr id="151" name="Frame1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43510" cy="175260"/>
                      <wp:effectExtent l="0" t="0" r="0" b="0"/>
                      <wp:wrapNone/>
                      <wp:docPr id="152" name="Frame15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499110" cy="175260"/>
                      <wp:effectExtent l="0" t="0" r="0" b="0"/>
                      <wp:wrapNone/>
                      <wp:docPr id="153" name="Frame153"/>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19710" cy="175260"/>
                      <wp:effectExtent l="0" t="0" r="0" b="0"/>
                      <wp:wrapNone/>
                      <wp:docPr id="154" name="Frame1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45415" cy="175260"/>
                      <wp:effectExtent l="0" t="0" r="0" b="0"/>
                      <wp:wrapNone/>
                      <wp:docPr id="155" name="Frame155"/>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369570" cy="175260"/>
                      <wp:effectExtent l="0" t="0" r="0" b="0"/>
                      <wp:wrapNone/>
                      <wp:docPr id="156" name="Frame156"/>
                      <a:graphic xmlns:a="http://schemas.openxmlformats.org/drawingml/2006/main">
                        <a:graphicData uri="http://schemas.microsoft.com/office/word/2010/wordprocessingShape">
                          <wps:wsp>
                            <wps:cNvSpPr txBox="1"/>
                            <wps:spPr>
                              <a:xfrm>
                                <a:off x="0" y="0"/>
                                <a:ext cx="369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19710" cy="175260"/>
                      <wp:effectExtent l="0" t="0" r="0" b="0"/>
                      <wp:wrapNone/>
                      <wp:docPr id="157" name="Frame1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73990" cy="175260"/>
                      <wp:effectExtent l="0" t="0" r="0" b="0"/>
                      <wp:wrapNone/>
                      <wp:docPr id="158" name="Frame158"/>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12140" cy="175260"/>
                      <wp:effectExtent l="0" t="0" r="0" b="0"/>
                      <wp:wrapNone/>
                      <wp:docPr id="159" name="Frame159"/>
                      <a:graphic xmlns:a="http://schemas.openxmlformats.org/drawingml/2006/main">
                        <a:graphicData uri="http://schemas.microsoft.com/office/word/2010/wordprocessingShape">
                          <wps:wsp>
                            <wps:cNvSpPr txBox="1"/>
                            <wps:spPr>
                              <a:xfrm>
                                <a:off x="0" y="0"/>
                                <a:ext cx="612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7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Beginning Balance</w:t>
            </w:r>
          </w:p>
        </w:tc>
        <w:tc>
          <w:tcPr>
            <w:tcW w:w="346" w:type="dxa"/>
            <w:tcBorders/>
            <w:vAlign w:val="center"/>
          </w:tcPr>
          <w:p>
            <w:pPr>
              <w:pStyle w:val="TableContents"/>
              <w:bidi w:val="0"/>
              <w:spacing w:before="0" w:after="0"/>
              <w:ind w:left="0" w:right="0" w:hanging="0"/>
              <w:jc w:val="left"/>
              <w:rPr/>
            </w:pPr>
            <w:r>
              <w:rPr/>
              <w:t>​</w:t>
            </w:r>
          </w:p>
        </w:tc>
        <w:tc>
          <w:tcPr>
            <w:tcW w:w="796"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12" w:type="dxa"/>
            <w:gridSpan w:val="2"/>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w:t>
            </w:r>
          </w:p>
        </w:tc>
        <w:tc>
          <w:tcPr>
            <w:tcW w:w="8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Impact of</w:t>
            </w:r>
          </w:p>
        </w:tc>
        <w:tc>
          <w:tcPr>
            <w:tcW w:w="346" w:type="dxa"/>
            <w:tcBorders/>
            <w:vAlign w:val="center"/>
          </w:tcPr>
          <w:p>
            <w:pPr>
              <w:pStyle w:val="TableContents"/>
              <w:bidi w:val="0"/>
              <w:spacing w:before="0" w:after="0"/>
              <w:ind w:left="0" w:right="0" w:hanging="0"/>
              <w:jc w:val="left"/>
              <w:rPr/>
            </w:pPr>
            <w:r>
              <w:rPr/>
              <w:t>​</w:t>
            </w:r>
          </w:p>
        </w:tc>
        <w:tc>
          <w:tcPr>
            <w:tcW w:w="123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Ending Balance</w:t>
            </w:r>
          </w:p>
        </w:tc>
      </w:tr>
      <w:tr>
        <w:trPr/>
        <w:tc>
          <w:tcPr>
            <w:tcW w:w="317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1,</w:t>
            </w:r>
          </w:p>
        </w:tc>
        <w:tc>
          <w:tcPr>
            <w:tcW w:w="346" w:type="dxa"/>
            <w:tcBorders/>
            <w:vAlign w:val="center"/>
          </w:tcPr>
          <w:p>
            <w:pPr>
              <w:pStyle w:val="TableContents"/>
              <w:bidi w:val="0"/>
              <w:spacing w:before="0" w:after="0"/>
              <w:ind w:left="0" w:right="0" w:hanging="0"/>
              <w:jc w:val="left"/>
              <w:rPr/>
            </w:pPr>
            <w:r>
              <w:rPr/>
              <w:t>​</w:t>
            </w:r>
          </w:p>
        </w:tc>
        <w:tc>
          <w:tcPr>
            <w:tcW w:w="796"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12"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Exchange</w:t>
            </w:r>
          </w:p>
        </w:tc>
        <w:tc>
          <w:tcPr>
            <w:tcW w:w="346" w:type="dxa"/>
            <w:tcBorders/>
            <w:vAlign w:val="center"/>
          </w:tcPr>
          <w:p>
            <w:pPr>
              <w:pStyle w:val="TableContents"/>
              <w:bidi w:val="0"/>
              <w:spacing w:before="0" w:after="0"/>
              <w:ind w:left="0" w:right="0" w:hanging="0"/>
              <w:jc w:val="left"/>
              <w:rPr/>
            </w:pPr>
            <w:r>
              <w:rPr/>
              <w:t>​</w:t>
            </w:r>
          </w:p>
        </w:tc>
        <w:tc>
          <w:tcPr>
            <w:tcW w:w="123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317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4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Additions</w:t>
            </w:r>
          </w:p>
        </w:tc>
        <w:tc>
          <w:tcPr>
            <w:tcW w:w="346" w:type="dxa"/>
            <w:tcBorders/>
            <w:vAlign w:val="center"/>
          </w:tcPr>
          <w:p>
            <w:pPr>
              <w:pStyle w:val="TableContents"/>
              <w:bidi w:val="0"/>
              <w:spacing w:before="0" w:after="0"/>
              <w:ind w:left="0" w:right="0" w:hanging="0"/>
              <w:jc w:val="left"/>
              <w:rPr/>
            </w:pPr>
            <w:r>
              <w:rPr/>
              <w:t>  ​ ​ ​</w:t>
            </w:r>
          </w:p>
        </w:tc>
        <w:tc>
          <w:tcPr>
            <w:tcW w:w="10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Deductions</w:t>
            </w:r>
          </w:p>
        </w:tc>
        <w:tc>
          <w:tcPr>
            <w:tcW w:w="346" w:type="dxa"/>
            <w:tcBorders/>
            <w:vAlign w:val="center"/>
          </w:tcPr>
          <w:p>
            <w:pPr>
              <w:pStyle w:val="TableContents"/>
              <w:bidi w:val="0"/>
              <w:spacing w:before="0" w:after="0"/>
              <w:ind w:left="0" w:right="0" w:hanging="0"/>
              <w:jc w:val="left"/>
              <w:rPr/>
            </w:pPr>
            <w:r>
              <w:rPr/>
              <w:t>  ​ ​ ​</w:t>
            </w:r>
          </w:p>
        </w:tc>
        <w:tc>
          <w:tcPr>
            <w:tcW w:w="8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Rates</w:t>
            </w:r>
          </w:p>
        </w:tc>
        <w:tc>
          <w:tcPr>
            <w:tcW w:w="346" w:type="dxa"/>
            <w:tcBorders/>
            <w:vAlign w:val="center"/>
          </w:tcPr>
          <w:p>
            <w:pPr>
              <w:pStyle w:val="TableContents"/>
              <w:bidi w:val="0"/>
              <w:spacing w:before="0" w:after="0"/>
              <w:ind w:left="0" w:right="0" w:hanging="0"/>
              <w:jc w:val="left"/>
              <w:rPr/>
            </w:pPr>
            <w:r>
              <w:rPr/>
              <w:t>  ​ ​ ​</w:t>
            </w:r>
          </w:p>
        </w:tc>
        <w:tc>
          <w:tcPr>
            <w:tcW w:w="12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1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  ​</w:t>
            </w:r>
          </w:p>
        </w:tc>
        <w:tc>
          <w:tcPr>
            <w:tcW w:w="1118"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  ​</w:t>
            </w:r>
          </w:p>
        </w:tc>
        <w:tc>
          <w:tcPr>
            <w:tcW w:w="518"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8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  ​</w:t>
            </w:r>
          </w:p>
        </w:tc>
        <w:tc>
          <w:tcPr>
            <w:tcW w:w="582"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964" w:type="dxa"/>
            <w:tcBorders/>
            <w:shd w:fill="CCEEFF" w:val="clear"/>
            <w:vAlign w:val="center"/>
          </w:tcPr>
          <w:p>
            <w:pPr>
              <w:pStyle w:val="TableContents"/>
              <w:bidi w:val="0"/>
              <w:spacing w:before="0" w:after="0"/>
              <w:ind w:left="0" w:right="0" w:hanging="0"/>
              <w:jc w:val="center"/>
              <w:rPr/>
            </w:pPr>
            <w:r>
              <w:rPr/>
              <w:t>​</w:t>
            </w:r>
          </w:p>
        </w:tc>
      </w:tr>
      <w:tr>
        <w:trPr/>
        <w:tc>
          <w:tcPr>
            <w:tcW w:w="31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46"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  ​</w:t>
            </w:r>
          </w:p>
        </w:tc>
        <w:tc>
          <w:tcPr>
            <w:tcW w:w="111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  ​</w:t>
            </w:r>
          </w:p>
        </w:tc>
        <w:tc>
          <w:tcPr>
            <w:tcW w:w="51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  ​</w:t>
            </w:r>
          </w:p>
        </w:tc>
        <w:tc>
          <w:tcPr>
            <w:tcW w:w="58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964" w:type="dxa"/>
            <w:tcBorders/>
            <w:vAlign w:val="center"/>
          </w:tcPr>
          <w:p>
            <w:pPr>
              <w:pStyle w:val="TableContents"/>
              <w:bidi w:val="0"/>
              <w:spacing w:before="0" w:after="0"/>
              <w:ind w:left="0" w:right="0" w:hanging="0"/>
              <w:jc w:val="center"/>
              <w:rPr/>
            </w:pPr>
            <w:r>
              <w:rPr/>
              <w:t>​</w:t>
            </w:r>
          </w:p>
        </w:tc>
      </w:tr>
      <w:tr>
        <w:trPr/>
        <w:tc>
          <w:tcPr>
            <w:tcW w:w="31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Bayer collaboration deferred revenue</w:t>
            </w:r>
          </w:p>
        </w:tc>
        <w:tc>
          <w:tcPr>
            <w:tcW w:w="346"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39,960</w:t>
            </w:r>
          </w:p>
        </w:tc>
        <w:tc>
          <w:tcPr>
            <w:tcW w:w="34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960</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(8,920)</w:t>
            </w:r>
          </w:p>
        </w:tc>
        <w:tc>
          <w:tcPr>
            <w:tcW w:w="34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2,629</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34,629</w:t>
            </w:r>
          </w:p>
        </w:tc>
      </w:tr>
      <w:tr>
        <w:trPr/>
        <w:tc>
          <w:tcPr>
            <w:tcW w:w="31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Novartis collaboration deferred revenue</w:t>
            </w:r>
          </w:p>
        </w:tc>
        <w:tc>
          <w:tcPr>
            <w:tcW w:w="346"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w:t>
            </w:r>
          </w:p>
        </w:tc>
        <w:tc>
          <w:tcPr>
            <w:tcW w:w="11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44,073</w:t>
            </w:r>
          </w:p>
        </w:tc>
        <w:tc>
          <w:tcPr>
            <w:tcW w:w="34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51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(46,985)</w:t>
            </w:r>
          </w:p>
        </w:tc>
        <w:tc>
          <w:tcPr>
            <w:tcW w:w="34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2,912</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964" w:type="dxa"/>
            <w:tcBorders/>
            <w:vAlign w:val="center"/>
          </w:tcPr>
          <w:p>
            <w:pPr>
              <w:pStyle w:val="TableContents"/>
              <w:bidi w:val="0"/>
              <w:spacing w:before="0" w:after="0"/>
              <w:ind w:left="0" w:right="0" w:hanging="0"/>
              <w:jc w:val="right"/>
              <w:rPr/>
            </w:pPr>
            <w:r>
              <w:rPr/>
              <w:t>—</w:t>
            </w:r>
          </w:p>
        </w:tc>
      </w:tr>
      <w:tr>
        <w:trPr/>
        <w:tc>
          <w:tcPr>
            <w:tcW w:w="31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Ionis collaboration deferred revenue</w:t>
            </w:r>
          </w:p>
        </w:tc>
        <w:tc>
          <w:tcPr>
            <w:tcW w:w="346"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w:t>
            </w:r>
          </w:p>
        </w:tc>
        <w:tc>
          <w:tcPr>
            <w:tcW w:w="11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3,587</w:t>
            </w:r>
          </w:p>
        </w:tc>
        <w:tc>
          <w:tcPr>
            <w:tcW w:w="34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51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5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9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3,840</w:t>
            </w:r>
          </w:p>
        </w:tc>
      </w:tr>
      <w:tr>
        <w:trPr/>
        <w:tc>
          <w:tcPr>
            <w:tcW w:w="31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Genentech collaboration deferred revenue</w:t>
            </w:r>
          </w:p>
        </w:tc>
        <w:tc>
          <w:tcPr>
            <w:tcW w:w="346" w:type="dxa"/>
            <w:tcBorders/>
            <w:vAlign w:val="center"/>
          </w:tcPr>
          <w:p>
            <w:pPr>
              <w:pStyle w:val="TableContents"/>
              <w:bidi w:val="0"/>
              <w:spacing w:before="0" w:after="0"/>
              <w:ind w:left="0" w:right="0" w:hanging="0"/>
              <w:jc w:val="left"/>
              <w:rPr/>
            </w:pPr>
            <w:r>
              <w:rPr/>
              <w:t>​</w:t>
            </w:r>
          </w:p>
        </w:tc>
        <w:tc>
          <w:tcPr>
            <w:tcW w:w="3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14,038</w:t>
            </w:r>
          </w:p>
        </w:tc>
        <w:tc>
          <w:tcPr>
            <w:tcW w:w="346" w:type="dxa"/>
            <w:tcBorders/>
            <w:vAlign w:val="center"/>
          </w:tcPr>
          <w:p>
            <w:pPr>
              <w:pStyle w:val="TableContents"/>
              <w:bidi w:val="0"/>
              <w:spacing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(14,681)</w:t>
            </w:r>
          </w:p>
        </w:tc>
        <w:tc>
          <w:tcPr>
            <w:tcW w:w="346" w:type="dxa"/>
            <w:tcBorders/>
            <w:vAlign w:val="center"/>
          </w:tcPr>
          <w:p>
            <w:pPr>
              <w:pStyle w:val="TableContents"/>
              <w:bidi w:val="0"/>
              <w:spacing w:before="0" w:after="0"/>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643</w:t>
            </w:r>
          </w:p>
        </w:tc>
        <w:tc>
          <w:tcPr>
            <w:tcW w:w="346"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1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revenue</w:t>
            </w:r>
          </w:p>
        </w:tc>
        <w:tc>
          <w:tcPr>
            <w:tcW w:w="346" w:type="dxa"/>
            <w:tcBorders/>
            <w:shd w:fill="CCEEFF" w:val="clear"/>
            <w:vAlign w:val="center"/>
          </w:tcPr>
          <w:p>
            <w:pPr>
              <w:pStyle w:val="TableContents"/>
              <w:bidi w:val="0"/>
              <w:spacing w:before="0" w:after="0"/>
              <w:ind w:left="0" w:right="0" w:hanging="0"/>
              <w:jc w:val="left"/>
              <w:rPr/>
            </w:pPr>
            <w:r>
              <w:rPr/>
              <w:t>​</w:t>
            </w:r>
          </w:p>
        </w:tc>
        <w:tc>
          <w:tcPr>
            <w:tcW w:w="3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101,658</w:t>
            </w:r>
          </w:p>
        </w:tc>
        <w:tc>
          <w:tcPr>
            <w:tcW w:w="346" w:type="dxa"/>
            <w:tcBorders/>
            <w:shd w:fill="CCEEFF" w:val="clear"/>
            <w:vAlign w:val="center"/>
          </w:tcPr>
          <w:p>
            <w:pPr>
              <w:pStyle w:val="TableContents"/>
              <w:bidi w:val="0"/>
              <w:spacing w:before="0" w:after="0"/>
              <w:ind w:left="0" w:right="0" w:hanging="0"/>
              <w:jc w:val="left"/>
              <w:rPr/>
            </w:pPr>
            <w:r>
              <w:rPr/>
              <w:t>​</w:t>
            </w:r>
          </w:p>
        </w:tc>
        <w:tc>
          <w:tcPr>
            <w:tcW w:w="27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960</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(70,586)</w:t>
            </w:r>
          </w:p>
        </w:tc>
        <w:tc>
          <w:tcPr>
            <w:tcW w:w="346" w:type="dxa"/>
            <w:tcBorders/>
            <w:shd w:fill="CCEEFF" w:val="clear"/>
            <w:vAlign w:val="center"/>
          </w:tcPr>
          <w:p>
            <w:pPr>
              <w:pStyle w:val="TableContents"/>
              <w:bidi w:val="0"/>
              <w:spacing w:before="0" w:after="0"/>
              <w:ind w:left="0" w:right="0" w:hanging="0"/>
              <w:jc w:val="left"/>
              <w:rPr/>
            </w:pPr>
            <w:r>
              <w:rPr/>
              <w:t>​</w:t>
            </w:r>
          </w:p>
        </w:tc>
        <w:tc>
          <w:tcPr>
            <w:tcW w:w="22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6,437</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4"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38,469</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Contract assets represent research and development services which have been performed but have not yet been billed and are reduced when they are subsequently billed. There were no contract assets at June 30, 2026 or December 31, 2025.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of June 30, 2026, the Bayer and Ionis deferred revenue balances include $31.1 million and $3.8 million, respectively, allocated to material rights that will commence revenue recognition when the respective option is exercised or when the option expires.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bookmarkStart w:id="844" w:name="Tc_b4ZilgJhNUaIjkIt92kkuw_7_10"/>
      <w:bookmarkStart w:id="845" w:name="Tc_vDN0gxDrq0e4MVSXWAlX2Q_7_7"/>
      <w:bookmarkStart w:id="846" w:name="Tc_GTO1Qmpeoky3uI1rGi01EQ_7_4"/>
      <w:bookmarkStart w:id="847" w:name="Tc_cufMHKcusEuYWEZyIg-6Xw_7_1"/>
      <w:bookmarkStart w:id="848" w:name="Tc_qxcSOpJHC0qoOouqxuTYgw_7_0"/>
      <w:bookmarkStart w:id="849" w:name="Tc_rwcccdc3pkSzkQaSwSTyZg_6_8"/>
      <w:bookmarkStart w:id="850" w:name="Tc_de6SlJF6i0ycOHro9LlT7g_6_5"/>
      <w:bookmarkStart w:id="851" w:name="Tc_UXAwR9tnpEaEKwEPYWvB4A_6_2"/>
      <w:bookmarkStart w:id="852" w:name="Tc_LPFa7NDICUe5WSWAjbxJbw_6_0"/>
      <w:bookmarkStart w:id="853" w:name="Tc_vt1iZT2vzU2otFGRv0Y5mg_5_10"/>
      <w:bookmarkStart w:id="854" w:name="Tc_xVQmMQpMO0-K5ghkAjZ-iA_5_7"/>
      <w:bookmarkStart w:id="855" w:name="Tc_Eg8gAYKi4ESLz9sfKB0Ptg_5_4"/>
      <w:bookmarkStart w:id="856" w:name="Tc_QzF7ToZCQkSqmzjO6sPWGg_5_1"/>
      <w:bookmarkStart w:id="857" w:name="Tc_p8Myt0jYsEC0UtFng-PZyw_5_0"/>
      <w:bookmarkStart w:id="858" w:name="Tc_bR3vEBg-tE23xwV_71ROUQ_4_0"/>
      <w:bookmarkStart w:id="859" w:name="Tc_xmcHEUEu3Uq_GicMiqpCOw_3_10"/>
      <w:bookmarkStart w:id="860" w:name="Tc_HI9sJzbwf0ypJQRdCcBIxQ_3_7"/>
      <w:bookmarkStart w:id="861" w:name="Tc_POJfZBxOGEKwECXBJQAspg_3_4"/>
      <w:bookmarkStart w:id="862" w:name="Tc_dIaKPF_DPUG78SZcwoLJiQ_3_1"/>
      <w:bookmarkStart w:id="863" w:name="Tc_stx3XM2vQUSeAEoOoPKPgw_2_7"/>
      <w:bookmarkStart w:id="864" w:name="Tc_fD_a9gzjXkWmrZGiGb7TqA_2_1"/>
      <w:bookmarkStart w:id="865" w:name="Tc_lTmVsZ2lCkC1XK8GE_ZEgA_1_7"/>
      <w:bookmarkStart w:id="866" w:name="Tc__IRDP4y5h06SkvKk4G_VOg_1_1"/>
      <w:bookmarkStart w:id="867" w:name="_ad18ae74_2da4_4b74_88fc_9465aa68b8bf"/>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r>
        <w:rPr>
          <w:rFonts w:ascii="Times New Roman;Times;serif" w:hAnsi="Times New Roman;Times;serif"/>
          <w:sz w:val="20"/>
        </w:rPr>
        <w:t>During the three and six months ended June 30, 2026 and 2025, the Company recognized the following revenue as a result of changes in the contract asset and the contract liability balances in the respective periods (in thousands):</w:t>
      </w:r>
    </w:p>
    <w:tbl>
      <w:tblPr>
        <w:tblW w:w="10205" w:type="dxa"/>
        <w:jc w:val="left"/>
        <w:tblInd w:w="0" w:type="dxa"/>
        <w:tblLayout w:type="fixed"/>
        <w:tblCellMar>
          <w:top w:w="0" w:type="dxa"/>
          <w:left w:w="0" w:type="dxa"/>
          <w:bottom w:w="0" w:type="dxa"/>
          <w:right w:w="0" w:type="dxa"/>
        </w:tblCellMar>
      </w:tblPr>
      <w:tblGrid>
        <w:gridCol w:w="6206"/>
        <w:gridCol w:w="211"/>
        <w:gridCol w:w="421"/>
        <w:gridCol w:w="346"/>
        <w:gridCol w:w="211"/>
        <w:gridCol w:w="571"/>
        <w:gridCol w:w="109"/>
        <w:gridCol w:w="211"/>
        <w:gridCol w:w="571"/>
        <w:gridCol w:w="346"/>
        <w:gridCol w:w="211"/>
        <w:gridCol w:w="791"/>
      </w:tblGrid>
      <w:tr>
        <w:trPr/>
        <w:tc>
          <w:tcPr>
            <w:tcW w:w="62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33985" cy="175260"/>
                      <wp:effectExtent l="0" t="0" r="0" b="0"/>
                      <wp:wrapNone/>
                      <wp:docPr id="160" name="Frame1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67335" cy="175260"/>
                      <wp:effectExtent l="0" t="0" r="0" b="0"/>
                      <wp:wrapNone/>
                      <wp:docPr id="161" name="Frame161"/>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19710" cy="175260"/>
                      <wp:effectExtent l="0" t="0" r="0" b="0"/>
                      <wp:wrapNone/>
                      <wp:docPr id="162" name="Frame1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33985" cy="175260"/>
                      <wp:effectExtent l="0" t="0" r="0" b="0"/>
                      <wp:wrapNone/>
                      <wp:docPr id="163" name="Frame1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362585" cy="175260"/>
                      <wp:effectExtent l="0" t="0" r="0" b="0"/>
                      <wp:wrapNone/>
                      <wp:docPr id="164" name="Frame16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9215" cy="175260"/>
                      <wp:effectExtent l="0" t="0" r="0" b="0"/>
                      <wp:wrapNone/>
                      <wp:docPr id="165" name="Frame1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33985" cy="175260"/>
                      <wp:effectExtent l="0" t="0" r="0" b="0"/>
                      <wp:wrapNone/>
                      <wp:docPr id="166" name="Frame1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362585" cy="175260"/>
                      <wp:effectExtent l="0" t="0" r="0" b="0"/>
                      <wp:wrapNone/>
                      <wp:docPr id="167" name="Frame16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19710" cy="175260"/>
                      <wp:effectExtent l="0" t="0" r="0" b="0"/>
                      <wp:wrapNone/>
                      <wp:docPr id="168" name="Frame1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33985" cy="175260"/>
                      <wp:effectExtent l="0" t="0" r="0" b="0"/>
                      <wp:wrapNone/>
                      <wp:docPr id="169" name="Frame1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502285" cy="175260"/>
                      <wp:effectExtent l="0" t="0" r="0" b="0"/>
                      <wp:wrapNone/>
                      <wp:docPr id="170" name="Frame170"/>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206" w:type="dxa"/>
            <w:tcBorders/>
            <w:vAlign w:val="center"/>
          </w:tcPr>
          <w:p>
            <w:pPr>
              <w:pStyle w:val="TableContents"/>
              <w:bidi w:val="0"/>
              <w:spacing w:before="0" w:after="1"/>
              <w:ind w:left="0" w:right="0" w:hanging="0"/>
              <w:jc w:val="left"/>
              <w:rPr/>
            </w:pPr>
            <w:r>
              <w:rPr/>
              <w:t>​</w:t>
            </w:r>
          </w:p>
        </w:tc>
        <w:tc>
          <w:tcPr>
            <w:tcW w:w="176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109" w:type="dxa"/>
            <w:tcBorders/>
            <w:vAlign w:val="center"/>
          </w:tcPr>
          <w:p>
            <w:pPr>
              <w:pStyle w:val="TableContents"/>
              <w:bidi w:val="0"/>
              <w:spacing w:before="0" w:after="1"/>
              <w:ind w:left="0" w:right="0" w:hanging="0"/>
              <w:jc w:val="center"/>
              <w:rPr/>
            </w:pPr>
            <w:r>
              <w:rPr/>
              <w:t>​</w:t>
            </w:r>
          </w:p>
        </w:tc>
        <w:tc>
          <w:tcPr>
            <w:tcW w:w="213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6206" w:type="dxa"/>
            <w:tcBorders/>
            <w:vAlign w:val="center"/>
          </w:tcPr>
          <w:p>
            <w:pPr>
              <w:pStyle w:val="TableContents"/>
              <w:bidi w:val="0"/>
              <w:spacing w:before="0" w:after="1"/>
              <w:ind w:left="0" w:right="0" w:hanging="0"/>
              <w:jc w:val="left"/>
              <w:rPr/>
            </w:pPr>
            <w:r>
              <w:rPr/>
              <w:t>​</w:t>
            </w:r>
          </w:p>
        </w:tc>
        <w:tc>
          <w:tcPr>
            <w:tcW w:w="176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1"/>
              <w:ind w:left="0" w:right="0" w:hanging="0"/>
              <w:jc w:val="center"/>
              <w:rPr/>
            </w:pPr>
            <w:r>
              <w:rPr/>
              <w:t>​</w:t>
            </w:r>
          </w:p>
        </w:tc>
        <w:tc>
          <w:tcPr>
            <w:tcW w:w="21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6206" w:type="dxa"/>
            <w:tcBorders/>
            <w:vAlign w:val="center"/>
          </w:tcPr>
          <w:p>
            <w:pPr>
              <w:pStyle w:val="TableContents"/>
              <w:bidi w:val="0"/>
              <w:spacing w:before="0" w:after="1"/>
              <w:ind w:left="0" w:right="0" w:hanging="0"/>
              <w:jc w:val="left"/>
              <w:rPr/>
            </w:pPr>
            <w:r>
              <w:rPr/>
              <w:t>​</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0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20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 recognized in the period from:</w:t>
            </w:r>
          </w:p>
        </w:tc>
        <w:tc>
          <w:tcPr>
            <w:tcW w:w="211" w:type="dxa"/>
            <w:tcBorders/>
            <w:shd w:fill="CCEEFF" w:val="clear"/>
            <w:vAlign w:val="center"/>
          </w:tcPr>
          <w:p>
            <w:pPr>
              <w:pStyle w:val="TableContents"/>
              <w:bidi w:val="0"/>
              <w:spacing w:before="0" w:after="1"/>
              <w:ind w:left="0" w:right="0" w:hanging="0"/>
              <w:jc w:val="center"/>
              <w:rPr/>
            </w:pPr>
            <w:r>
              <w:rPr/>
              <w:t>​</w:t>
            </w:r>
          </w:p>
        </w:tc>
        <w:tc>
          <w:tcPr>
            <w:tcW w:w="421" w:type="dxa"/>
            <w:tcBorders/>
            <w:shd w:fill="CCEEFF" w:val="clear"/>
            <w:vAlign w:val="center"/>
          </w:tcPr>
          <w:p>
            <w:pPr>
              <w:pStyle w:val="TableContents"/>
              <w:bidi w:val="0"/>
              <w:spacing w:before="0" w:after="1"/>
              <w:ind w:left="0" w:right="0" w:hanging="0"/>
              <w:jc w:val="center"/>
              <w:rPr/>
            </w:pPr>
            <w:r>
              <w:rPr/>
              <w:t>  ​</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571" w:type="dxa"/>
            <w:tcBorders/>
            <w:shd w:fill="CCEEFF" w:val="clear"/>
            <w:vAlign w:val="center"/>
          </w:tcPr>
          <w:p>
            <w:pPr>
              <w:pStyle w:val="TableContents"/>
              <w:bidi w:val="0"/>
              <w:spacing w:before="0" w:after="1"/>
              <w:ind w:left="0" w:right="0" w:hanging="0"/>
              <w:jc w:val="center"/>
              <w:rPr/>
            </w:pPr>
            <w:r>
              <w:rPr/>
              <w:t>  ​</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571" w:type="dxa"/>
            <w:tcBorders/>
            <w:shd w:fill="CCEEFF" w:val="clear"/>
            <w:vAlign w:val="center"/>
          </w:tcPr>
          <w:p>
            <w:pPr>
              <w:pStyle w:val="TableContents"/>
              <w:bidi w:val="0"/>
              <w:spacing w:before="0" w:after="1"/>
              <w:ind w:left="0" w:right="0" w:hanging="0"/>
              <w:jc w:val="center"/>
              <w:rPr/>
            </w:pPr>
            <w:r>
              <w:rPr/>
              <w:t>  ​</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91" w:type="dxa"/>
            <w:tcBorders/>
            <w:shd w:fill="CCEEFF" w:val="clear"/>
            <w:vAlign w:val="center"/>
          </w:tcPr>
          <w:p>
            <w:pPr>
              <w:pStyle w:val="TableContents"/>
              <w:bidi w:val="0"/>
              <w:spacing w:before="0" w:after="1"/>
              <w:ind w:left="0" w:right="0" w:hanging="0"/>
              <w:jc w:val="center"/>
              <w:rPr/>
            </w:pPr>
            <w:r>
              <w:rPr/>
              <w:t>  ​</w:t>
            </w:r>
          </w:p>
        </w:tc>
      </w:tr>
      <w:tr>
        <w:trPr/>
        <w:tc>
          <w:tcPr>
            <w:tcW w:w="62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recognized based on proportional performance</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629</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2,920</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1,516</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5,384</w:t>
            </w:r>
          </w:p>
        </w:tc>
      </w:tr>
      <w:tr>
        <w:trPr/>
        <w:tc>
          <w:tcPr>
            <w:tcW w:w="62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recognized based on contract modifications and expiration of material rights</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7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7,513</w:t>
            </w:r>
          </w:p>
        </w:tc>
      </w:tr>
      <w:tr>
        <w:trPr/>
        <w:tc>
          <w:tcPr>
            <w:tcW w:w="62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2,920</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12,897</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9. Income taxes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During the three and six months ended June 30, 2026, the Company recorded an income tax provision of $0.1 million and $0.3 million, respectively, and during the three and six months ended June 30, 2025, the Company recorded an income tax benefit of $0.2 million and $1.3 million, respectively. The Company is subject to corporate taxation in the U.K. Due to the nature of its business, the Company has generated losses since inception and has therefore not paid U.K. corporation tax. The income tax provision recognized during the three and six months ended June 30, 2026 was primarily due to timing differences associated with discrete items for the settlement of RSUs. The benefit from income taxes recognized during the three and six months ended June 30, 2025 represents the tax impact from operating activities in the United States, which has generated taxable income based on intercompany service arrangements. Deferred tax assets in the United States do not have a valuation allowance against them because of profits that will be generated by an intercompany service agreement. </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regularly assesses its ability to realize its deferred tax assets. Assessing the realization of deferred tax assets requires significant judgment. In determining whether its deferred tax assets are more likely than not realizable, the Company evaluated all available positive and negative evidence, and weighed the evidence based on its objectivity. After consideration of the evidence, including the Company’s history of cumulative net losses in the U.K., the Company has concluded that it is more likely than not that the Company will not realize the benefits of its U.K. deferred tax assets and accordingly the Company has provided a valuation allowance for the full amount of the deferred tax assets in the U.K. as of June 30, 2026 and December 31, 2025. The Company has considered the Company’s history of cumulative net profits in the United States, estimated future taxable income and concluded that it is more likely than not that the Company will realize the benefits of its U.S. deferred tax assets and has not provided a valuation allowance against the deferred tax assets in the United States. </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intends to continue to maintain a full valuation allowance on its U.K. deferred tax assets until there is sufficient evidence to support the reversal of all or some portion of these allowances. The release of the valuation allowance would result in the recognition of certain deferred tax assets and an increase to the benefit from income taxes for the period the release is recorded. However, the exact timing and amount of the valuation allowance release are subject to change on the basis of the level of profitability that the Company is able to actually achieve.</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provision for (benefit from) income taxes recorded in the condensed consolidated statements of operations differs from amounts that would result from applying the statutory tax rates to income before taxes primarily because of certain permanent expenses that were not deductible, U.K., federal and state research and development credits, as well as the application of valuation allowances against the U.K. deferred tax assets.</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68" w:name="Tc_lVmEI1trukevEgRr242Bsw_9_10"/>
      <w:bookmarkStart w:id="869" w:name="Tc_8Jg66n-aTE6SGjXBlCRm1A_9_7"/>
      <w:bookmarkStart w:id="870" w:name="Tc_9ZNEjqufjUyhsDDKhxaqBg_9_4"/>
      <w:bookmarkStart w:id="871" w:name="Tc_uUFWNoYAeEytKp_w6drbbQ_9_1"/>
      <w:bookmarkStart w:id="872" w:name="Tc_0Q27ZvK-Q0aI_kRR575nnA_9_0"/>
      <w:bookmarkStart w:id="873" w:name="Tc_mGfheLL2NE2bFOoh7NfSyA_8_0"/>
      <w:bookmarkStart w:id="874" w:name="Tc_Y7xuOxn0aUOjbsZZALbUrQ_7_0"/>
      <w:bookmarkStart w:id="875" w:name="Tc_yJVwUlQMl0SAtz3zbnQO9A_6_0"/>
      <w:bookmarkStart w:id="876" w:name="Tc_k9skfhycvky3k61vf8D53Q_5_0"/>
      <w:bookmarkStart w:id="877" w:name="Tc_Pf8-awR7JUe5Mf4PL5TXLw_4_10"/>
      <w:bookmarkStart w:id="878" w:name="Tc_Qd6UuZbCjkyZMLz8fauQ2Q_4_7"/>
      <w:bookmarkStart w:id="879" w:name="Tc_vwZriy8rqEmVRmt9qPgsww_4_4"/>
      <w:bookmarkStart w:id="880" w:name="Tc_oU6g6CyKH0qL69xYxp8NSw_4_1"/>
      <w:bookmarkStart w:id="881" w:name="Tc_3UuxVPyLjUeYgNOi1Y0Yow_4_0"/>
      <w:bookmarkStart w:id="882" w:name="Tc_BqiMlZ7lyE-eOc23tB7NVg_3_10"/>
      <w:bookmarkStart w:id="883" w:name="Tc_Y1vE0RgEqkGytP539RC-hg_3_7"/>
      <w:bookmarkStart w:id="884" w:name="Tc_73uoFGxcuU2MGNmYB6ldLw_3_4"/>
      <w:bookmarkStart w:id="885" w:name="Tc_o1fxVEUXbkKr5BBq4pyNCA_3_1"/>
      <w:bookmarkStart w:id="886" w:name="Tc_CkfWXevbnU62DUK6cF6JPQ_2_7"/>
      <w:bookmarkStart w:id="887" w:name="Tc_ks5jj0_sWkuat5dWYUkBww_2_1"/>
      <w:bookmarkStart w:id="888" w:name="Tc__LwNLPDVyEquVptc_ycjPw_1_7"/>
      <w:bookmarkStart w:id="889" w:name="Tc_cTGfx7LCH0iwo0CMKGHJYg_1_1"/>
      <w:bookmarkStart w:id="890" w:name="_aecb66e9_08de_4b17_a432_b1bd8b75f2bf"/>
      <w:bookmarkStart w:id="891" w:name="_261600fc_3c1e_4fa9_a48e_0e9b098ee3ac_3"/>
      <w:bookmarkStart w:id="892" w:name="_261600fc_3c1e_4fa9_a48e_0e9b098ee3ac_2"/>
      <w:bookmarkStart w:id="893" w:name="_261600fc_3c1e_4fa9_a48e_0e9b098ee3ac"/>
      <w:bookmarkStart w:id="894" w:name="_68c68b41_1e09_4ef7_8dc5_9c9ffcb30f72_3"/>
      <w:bookmarkStart w:id="895" w:name="_68c68b41_1e09_4ef7_8dc5_9c9ffcb30f72_2"/>
      <w:bookmarkStart w:id="896" w:name="_68c68b41_1e09_4ef7_8dc5_9c9ffcb30f72"/>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r>
        <w:rPr>
          <w:rFonts w:ascii="Times New Roman;Times;serif" w:hAnsi="Times New Roman;Times;serif"/>
          <w:b/>
          <w:sz w:val="20"/>
        </w:rPr>
        <w:t>10. Commitments and contingencies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Leases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January 2023, the Company entered into a lease agreement for office and laboratory space in Cambridge, Massachusetts. The Company concluded that the lease term was three years, representing the non-cancelable lease period. The lease expired in March 2026.</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December 2021, the Company entered into a lease of office and laboratory space in Cambridge, United Kingdom. The lease has a contractual period of 10 years, cancelable by the Company on the fifth anniversary of the lease commencement date. The Company concluded that the initial lease term was five years, representing the non-cancelable lease period. In December 2025, the Company entered into a deed of variation to the lease, pursuant to which (i) the Company elected not to cancel the lease on the fifth anniversary of the lease commencement date and (ii) the annual rent was increased effective in December 2026, payable quarterly in advance following a nine-month rent-free period from December 2026 to September 2027. The Company accounted for the deed of variation as a modification to the existing lease and remeasured the right-of-use asset and lease liability based on the present value of remaining lease payments, discounted at the Company’s incremental borrowing rate, and recognized an additional right-of-use asset and lease liability of $12.4 million on the modification date. The Company has a contractual right to renew the lease for a further 10-year period, which also may be cancelled after five years.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September 2017, the Company entered into a lease agreement for office and laboratory space in Lexington, Massachusetts, which commenced on January 1, 2018. In May 2022, the Company extended the lease, originally set to expire on December 31, 2022, through December 31, 2027. </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From time to time, the Company may enter into finance lease agreements for property and equipment. Amortization expense related to finance lease right-of-use assets is recognized on a straight-line basis over the earlier of the useful life of the right-of-use asset or the lease term and interest expense for finance leases is recognized based on the effective interest method using the Company’s incremental borrowing rate. As of June 30, 2026 and December 31, 2025, the Company recorded finance lease right-of-use assets of $0.7 million and $0.8 million, respectively, which are included in property and equipment, net, in the condensed consolidated balance sheets. As of June 30, 2026 and December 31, 2025, the Company recorded finance lease liabilities of $0.8 million and $0.9 million, respectively, which are included in accrued expenses and other current liabilities and other long-term liabilities, as applicable, in the condensed consolidated balance sheets. As of June 30, 2026, the Company has also entered into an agreement that contains a lease for property and equipment that has not yet commenced with a contractual period of approximately two years and aggregate payments of approximately $5.2 million.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components of the Company’s lease expense, which are recorded as a component of research and development expenses and general and administrative expenses in the condensed consolidated statements of operations and comprehensive loss, are as follows (in thousands):</w:t>
      </w:r>
    </w:p>
    <w:p>
      <w:pPr>
        <w:pStyle w:val="TextBody"/>
        <w:bidi w:val="0"/>
        <w:spacing w:before="0" w:after="240"/>
        <w:ind w:left="0" w:right="0" w:firstLine="720"/>
        <w:jc w:val="left"/>
        <w:rPr/>
      </w:pPr>
      <w:r>
        <w:rPr/>
        <w:t>​</w:t>
      </w:r>
    </w:p>
    <w:tbl>
      <w:tblPr>
        <w:tblW w:w="7830" w:type="dxa"/>
        <w:jc w:val="left"/>
        <w:tblInd w:w="0" w:type="dxa"/>
        <w:tblLayout w:type="fixed"/>
        <w:tblCellMar>
          <w:top w:w="0" w:type="dxa"/>
          <w:left w:w="0" w:type="dxa"/>
          <w:bottom w:w="0" w:type="dxa"/>
          <w:right w:w="0" w:type="dxa"/>
        </w:tblCellMar>
      </w:tblPr>
      <w:tblGrid>
        <w:gridCol w:w="4006"/>
        <w:gridCol w:w="211"/>
        <w:gridCol w:w="421"/>
        <w:gridCol w:w="346"/>
        <w:gridCol w:w="211"/>
        <w:gridCol w:w="571"/>
        <w:gridCol w:w="109"/>
        <w:gridCol w:w="211"/>
        <w:gridCol w:w="571"/>
        <w:gridCol w:w="346"/>
        <w:gridCol w:w="211"/>
        <w:gridCol w:w="616"/>
      </w:tblGrid>
      <w:tr>
        <w:trPr/>
        <w:tc>
          <w:tcPr>
            <w:tcW w:w="4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543810" cy="175260"/>
                      <wp:effectExtent l="0" t="0" r="0" b="0"/>
                      <wp:wrapNone/>
                      <wp:docPr id="171" name="Frame171"/>
                      <a:graphic xmlns:a="http://schemas.openxmlformats.org/drawingml/2006/main">
                        <a:graphicData uri="http://schemas.microsoft.com/office/word/2010/wordprocessingShape">
                          <wps:wsp>
                            <wps:cNvSpPr txBox="1"/>
                            <wps:spPr>
                              <a:xfrm>
                                <a:off x="0" y="0"/>
                                <a:ext cx="2543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33985" cy="175260"/>
                      <wp:effectExtent l="0" t="0" r="0" b="0"/>
                      <wp:wrapNone/>
                      <wp:docPr id="172" name="Frame1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67335" cy="175260"/>
                      <wp:effectExtent l="0" t="0" r="0" b="0"/>
                      <wp:wrapNone/>
                      <wp:docPr id="173" name="Frame173"/>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19710" cy="175260"/>
                      <wp:effectExtent l="0" t="0" r="0" b="0"/>
                      <wp:wrapNone/>
                      <wp:docPr id="174" name="Frame1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33985" cy="175260"/>
                      <wp:effectExtent l="0" t="0" r="0" b="0"/>
                      <wp:wrapNone/>
                      <wp:docPr id="175" name="Frame1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362585" cy="175260"/>
                      <wp:effectExtent l="0" t="0" r="0" b="0"/>
                      <wp:wrapNone/>
                      <wp:docPr id="176" name="Frame17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9215" cy="175260"/>
                      <wp:effectExtent l="0" t="0" r="0" b="0"/>
                      <wp:wrapNone/>
                      <wp:docPr id="177" name="Frame1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33985" cy="175260"/>
                      <wp:effectExtent l="0" t="0" r="0" b="0"/>
                      <wp:wrapNone/>
                      <wp:docPr id="178" name="Frame1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362585" cy="175260"/>
                      <wp:effectExtent l="0" t="0" r="0" b="0"/>
                      <wp:wrapNone/>
                      <wp:docPr id="179" name="Frame17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19710" cy="175260"/>
                      <wp:effectExtent l="0" t="0" r="0" b="0"/>
                      <wp:wrapNone/>
                      <wp:docPr id="180" name="Frame1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33985" cy="175260"/>
                      <wp:effectExtent l="0" t="0" r="0" b="0"/>
                      <wp:wrapNone/>
                      <wp:docPr id="181" name="Frame1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391160" cy="175260"/>
                      <wp:effectExtent l="0" t="0" r="0" b="0"/>
                      <wp:wrapNone/>
                      <wp:docPr id="182" name="Frame182"/>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06" w:type="dxa"/>
            <w:tcBorders/>
            <w:vAlign w:val="center"/>
          </w:tcPr>
          <w:p>
            <w:pPr>
              <w:pStyle w:val="TableContents"/>
              <w:bidi w:val="0"/>
              <w:spacing w:before="0" w:after="1"/>
              <w:ind w:left="0" w:right="0" w:hanging="0"/>
              <w:jc w:val="left"/>
              <w:rPr/>
            </w:pPr>
            <w:r>
              <w:rPr/>
              <w:t>​</w:t>
            </w:r>
          </w:p>
        </w:tc>
        <w:tc>
          <w:tcPr>
            <w:tcW w:w="176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109" w:type="dxa"/>
            <w:tcBorders/>
            <w:vAlign w:val="center"/>
          </w:tcPr>
          <w:p>
            <w:pPr>
              <w:pStyle w:val="TableContents"/>
              <w:bidi w:val="0"/>
              <w:spacing w:before="0" w:after="1"/>
              <w:ind w:left="0" w:right="0" w:hanging="0"/>
              <w:jc w:val="center"/>
              <w:rPr/>
            </w:pPr>
            <w:r>
              <w:rPr/>
              <w:t>​</w:t>
            </w:r>
          </w:p>
        </w:tc>
        <w:tc>
          <w:tcPr>
            <w:tcW w:w="195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006" w:type="dxa"/>
            <w:tcBorders/>
            <w:vAlign w:val="center"/>
          </w:tcPr>
          <w:p>
            <w:pPr>
              <w:pStyle w:val="TableContents"/>
              <w:bidi w:val="0"/>
              <w:spacing w:before="0" w:after="1"/>
              <w:ind w:left="0" w:right="0" w:hanging="0"/>
              <w:jc w:val="left"/>
              <w:rPr/>
            </w:pPr>
            <w:r>
              <w:rPr/>
              <w:t>​</w:t>
            </w:r>
          </w:p>
        </w:tc>
        <w:tc>
          <w:tcPr>
            <w:tcW w:w="176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1"/>
              <w:ind w:left="0" w:right="0" w:hanging="0"/>
              <w:jc w:val="center"/>
              <w:rPr/>
            </w:pPr>
            <w:r>
              <w:rPr/>
              <w:t>​</w:t>
            </w:r>
          </w:p>
        </w:tc>
        <w:tc>
          <w:tcPr>
            <w:tcW w:w="195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006" w:type="dxa"/>
            <w:tcBorders/>
            <w:vAlign w:val="center"/>
          </w:tcPr>
          <w:p>
            <w:pPr>
              <w:pStyle w:val="TableContents"/>
              <w:bidi w:val="0"/>
              <w:spacing w:before="0" w:after="1"/>
              <w:ind w:left="0" w:right="0" w:hanging="0"/>
              <w:jc w:val="left"/>
              <w:rPr/>
            </w:pPr>
            <w:r>
              <w:rPr/>
              <w:t>​</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0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820</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1,286</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2,172</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2,537</w:t>
            </w:r>
          </w:p>
        </w:tc>
      </w:tr>
      <w:tr>
        <w:trPr/>
        <w:tc>
          <w:tcPr>
            <w:tcW w:w="40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Variable lease cost</w:t>
            </w:r>
          </w:p>
        </w:tc>
        <w:tc>
          <w:tcPr>
            <w:tcW w:w="211"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737</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776</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1,590</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1,574</w:t>
            </w:r>
          </w:p>
        </w:tc>
      </w:tr>
      <w:tr>
        <w:trPr/>
        <w:tc>
          <w:tcPr>
            <w:tcW w:w="40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Finance lease cost:</w:t>
            </w:r>
          </w:p>
        </w:tc>
        <w:tc>
          <w:tcPr>
            <w:tcW w:w="211"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left"/>
              <w:rPr/>
            </w:pPr>
            <w:r>
              <w:rPr/>
              <w:t>​</w:t>
            </w:r>
          </w:p>
        </w:tc>
      </w:tr>
      <w:tr>
        <w:trPr/>
        <w:tc>
          <w:tcPr>
            <w:tcW w:w="40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finance lease right-of-use assets</w:t>
            </w:r>
          </w:p>
        </w:tc>
        <w:tc>
          <w:tcPr>
            <w:tcW w:w="211"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w:t>
            </w:r>
          </w:p>
        </w:tc>
      </w:tr>
      <w:tr>
        <w:trPr/>
        <w:tc>
          <w:tcPr>
            <w:tcW w:w="40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on finance lease liabilities</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40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finance lease cost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151</w:t>
            </w:r>
          </w:p>
        </w:tc>
      </w:tr>
    </w:tbl>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weighted average remaining operating lease term was 5.1 years and 1.6 years as of June 30, 2026 and 2025, respectively, and the weighted average operating lease discount rate was 6.3% and 7.7% as of June 30, 2026 and 2025, respectively. The weighted average remaining finance lease term was 3.2 years and 4.2 years as of June 30, 2026 and 2025, respectively, and the weighted average finance lease discount rate was 9.5% as of each of June 30, 2026 and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897" w:name="Tc_WGCwVCMKEU2Gv9tzlrBhsw_11_5"/>
      <w:bookmarkStart w:id="898" w:name="Tc_QDzDQvv7dEK3f00IsFgfCQ_11_2"/>
      <w:bookmarkStart w:id="899" w:name="Tc_aGTKtjfsyk6a7L8mR5HOsQ_11_0"/>
      <w:bookmarkStart w:id="900" w:name="Tc_1O7OC5c-XEWZivyQVDANZw_9_0"/>
      <w:bookmarkStart w:id="901" w:name="Tc_Ezmaj1f6qEiYDoH1BmHb-g_8_0"/>
      <w:bookmarkStart w:id="902" w:name="Tc_ceQroF4ENUSdfZGHHYAq9A_7_6"/>
      <w:bookmarkStart w:id="903" w:name="Tc_IaRgpVJ5UEWX7AyE3Z75Gw_7_0"/>
      <w:bookmarkStart w:id="904" w:name="Tc_998jGDIGN0yfmuzNRRpEXQ_6_6"/>
      <w:bookmarkStart w:id="905" w:name="Tc_ue5giqvlnkmC62Dv9ge87Q_6_0"/>
      <w:bookmarkStart w:id="906" w:name="Tc_ZlF1zoBfQUWU_GENGR6eqA_5_0"/>
      <w:bookmarkStart w:id="907" w:name="Tc_imGG7_9iNUSu9Qefmzf0CQ_4_0"/>
      <w:bookmarkStart w:id="908" w:name="Tc_wfTlYEiZc0WxIHS8bcLCSA_3_0"/>
      <w:bookmarkStart w:id="909" w:name="Tc_GS2XS7-zsEWewmvCaapmxg_2_0"/>
      <w:bookmarkStart w:id="910" w:name="Tc_jyXiLQpnGk2G0Um0VZciCg_1_5"/>
      <w:bookmarkStart w:id="911" w:name="Tc_j9lfxFybKEmWgAHH8Mnk9A_1_2"/>
      <w:bookmarkStart w:id="912" w:name="Tc_sv8JK9eGrkafMAt60A-Rvw_1_0"/>
      <w:bookmarkStart w:id="913" w:name="_0f1d9479_9e84_4785_bede_20366e9e1a44"/>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maturities of the Company’s lease liabilities as of June 30, 2026 (in thousands):</w:t>
      </w:r>
    </w:p>
    <w:p>
      <w:pPr>
        <w:pStyle w:val="TextBody"/>
        <w:bidi w:val="0"/>
        <w:spacing w:before="0" w:after="0"/>
        <w:ind w:left="0" w:right="0" w:hanging="0"/>
        <w:jc w:val="left"/>
        <w:rPr/>
      </w:pPr>
      <w:r>
        <w:rPr/>
        <w:t>​</w:t>
      </w:r>
    </w:p>
    <w:tbl>
      <w:tblPr>
        <w:tblW w:w="5718" w:type="dxa"/>
        <w:jc w:val="left"/>
        <w:tblInd w:w="0" w:type="dxa"/>
        <w:tblLayout w:type="fixed"/>
        <w:tblCellMar>
          <w:top w:w="0" w:type="dxa"/>
          <w:left w:w="0" w:type="dxa"/>
          <w:bottom w:w="0" w:type="dxa"/>
          <w:right w:w="0" w:type="dxa"/>
        </w:tblCellMar>
      </w:tblPr>
      <w:tblGrid>
        <w:gridCol w:w="2431"/>
        <w:gridCol w:w="346"/>
        <w:gridCol w:w="319"/>
        <w:gridCol w:w="1046"/>
        <w:gridCol w:w="346"/>
        <w:gridCol w:w="325"/>
        <w:gridCol w:w="905"/>
      </w:tblGrid>
      <w:tr>
        <w:trPr/>
        <w:tc>
          <w:tcPr>
            <w:tcW w:w="2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543685" cy="175260"/>
                      <wp:effectExtent l="0" t="0" r="0" b="0"/>
                      <wp:wrapNone/>
                      <wp:docPr id="183" name="Frame183"/>
                      <a:graphic xmlns:a="http://schemas.openxmlformats.org/drawingml/2006/main">
                        <a:graphicData uri="http://schemas.microsoft.com/office/word/2010/wordprocessingShape">
                          <wps:wsp>
                            <wps:cNvSpPr txBox="1"/>
                            <wps:spPr>
                              <a:xfrm>
                                <a:off x="0" y="0"/>
                                <a:ext cx="1543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19710" cy="175260"/>
                      <wp:effectExtent l="0" t="0" r="0" b="0"/>
                      <wp:wrapNone/>
                      <wp:docPr id="184" name="Frame1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2565" cy="175260"/>
                      <wp:effectExtent l="0" t="0" r="0" b="0"/>
                      <wp:wrapNone/>
                      <wp:docPr id="185" name="Frame185"/>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64210" cy="175260"/>
                      <wp:effectExtent l="0" t="0" r="0" b="0"/>
                      <wp:wrapNone/>
                      <wp:docPr id="186" name="Frame186"/>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19710" cy="175260"/>
                      <wp:effectExtent l="0" t="0" r="0" b="0"/>
                      <wp:wrapNone/>
                      <wp:docPr id="187" name="Frame1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06375" cy="175260"/>
                      <wp:effectExtent l="0" t="0" r="0" b="0"/>
                      <wp:wrapNone/>
                      <wp:docPr id="188" name="Frame188"/>
                      <a:graphic xmlns:a="http://schemas.openxmlformats.org/drawingml/2006/main">
                        <a:graphicData uri="http://schemas.microsoft.com/office/word/2010/wordprocessingShape">
                          <wps:wsp>
                            <wps:cNvSpPr txBox="1"/>
                            <wps:spPr>
                              <a:xfrm>
                                <a:off x="0" y="0"/>
                                <a:ext cx="2063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574675" cy="175260"/>
                      <wp:effectExtent l="0" t="0" r="0" b="0"/>
                      <wp:wrapNone/>
                      <wp:docPr id="189" name="Frame189"/>
                      <a:graphic xmlns:a="http://schemas.openxmlformats.org/drawingml/2006/main">
                        <a:graphicData uri="http://schemas.microsoft.com/office/word/2010/wordprocessingShape">
                          <wps:wsp>
                            <wps:cNvSpPr txBox="1"/>
                            <wps:spPr>
                              <a:xfrm>
                                <a:off x="0" y="0"/>
                                <a:ext cx="5746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3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Year Ending December 31, </w:t>
            </w:r>
          </w:p>
        </w:tc>
        <w:tc>
          <w:tcPr>
            <w:tcW w:w="346" w:type="dxa"/>
            <w:tcBorders/>
            <w:vAlign w:val="center"/>
          </w:tcPr>
          <w:p>
            <w:pPr>
              <w:pStyle w:val="TableContents"/>
              <w:bidi w:val="0"/>
              <w:spacing w:before="0" w:after="1"/>
              <w:ind w:left="0" w:right="0" w:hanging="0"/>
              <w:jc w:val="left"/>
              <w:rPr/>
            </w:pPr>
            <w:r>
              <w:rPr/>
              <w:t>  ​ ​ ​</w:t>
            </w:r>
          </w:p>
        </w:tc>
        <w:tc>
          <w:tcPr>
            <w:tcW w:w="13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Operating Leases</w:t>
            </w:r>
          </w:p>
        </w:tc>
        <w:tc>
          <w:tcPr>
            <w:tcW w:w="346" w:type="dxa"/>
            <w:tcBorders/>
            <w:vAlign w:val="center"/>
          </w:tcPr>
          <w:p>
            <w:pPr>
              <w:pStyle w:val="TableContents"/>
              <w:bidi w:val="0"/>
              <w:spacing w:before="0" w:after="1"/>
              <w:ind w:left="0" w:right="0" w:hanging="0"/>
              <w:jc w:val="left"/>
              <w:rPr/>
            </w:pPr>
            <w:r>
              <w:rPr/>
              <w:t>  ​ ​ ​</w:t>
            </w:r>
          </w:p>
        </w:tc>
        <w:tc>
          <w:tcPr>
            <w:tcW w:w="12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Finance Leases</w:t>
            </w:r>
          </w:p>
        </w:tc>
      </w:tr>
      <w:tr>
        <w:trPr/>
        <w:tc>
          <w:tcPr>
            <w:tcW w:w="24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1"/>
              <w:ind w:left="0" w:right="0" w:hanging="0"/>
              <w:jc w:val="left"/>
              <w:rPr/>
            </w:pPr>
            <w:r>
              <w:rPr/>
              <w:t> </w:t>
            </w:r>
          </w:p>
        </w:tc>
        <w:tc>
          <w:tcPr>
            <w:tcW w:w="319" w:type="dxa"/>
            <w:tcBorders/>
            <w:shd w:fill="CCEEFF" w:val="clear"/>
            <w:vAlign w:val="center"/>
          </w:tcPr>
          <w:p>
            <w:pPr>
              <w:pStyle w:val="TableContents"/>
              <w:bidi w:val="0"/>
              <w:spacing w:before="0" w:after="1"/>
              <w:ind w:left="0" w:right="0" w:hanging="0"/>
              <w:jc w:val="left"/>
              <w:rPr/>
            </w:pPr>
            <w:r>
              <w:rPr/>
              <w:t>​</w:t>
            </w:r>
          </w:p>
        </w:tc>
        <w:tc>
          <w:tcPr>
            <w:tcW w:w="10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988</w:t>
            </w:r>
          </w:p>
        </w:tc>
        <w:tc>
          <w:tcPr>
            <w:tcW w:w="346" w:type="dxa"/>
            <w:tcBorders/>
            <w:shd w:fill="CCEEFF" w:val="clear"/>
            <w:vAlign w:val="center"/>
          </w:tcPr>
          <w:p>
            <w:pPr>
              <w:pStyle w:val="TableContents"/>
              <w:bidi w:val="0"/>
              <w:spacing w:before="0" w:after="1"/>
              <w:ind w:left="0" w:right="0" w:hanging="0"/>
              <w:jc w:val="left"/>
              <w:rPr/>
            </w:pPr>
            <w:r>
              <w:rPr/>
              <w:t> </w:t>
            </w:r>
          </w:p>
        </w:tc>
        <w:tc>
          <w:tcPr>
            <w:tcW w:w="325" w:type="dxa"/>
            <w:tcBorders/>
            <w:shd w:fill="CCEEFF" w:val="clear"/>
            <w:vAlign w:val="center"/>
          </w:tcPr>
          <w:p>
            <w:pPr>
              <w:pStyle w:val="TableContents"/>
              <w:bidi w:val="0"/>
              <w:spacing w:before="0" w:after="1"/>
              <w:ind w:left="0" w:right="0" w:hanging="0"/>
              <w:jc w:val="left"/>
              <w:rPr/>
            </w:pPr>
            <w:r>
              <w:rPr/>
              <w:t>​</w:t>
            </w:r>
          </w:p>
        </w:tc>
        <w:tc>
          <w:tcPr>
            <w:tcW w:w="9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w:t>
            </w:r>
          </w:p>
        </w:tc>
      </w:tr>
      <w:tr>
        <w:trPr/>
        <w:tc>
          <w:tcPr>
            <w:tcW w:w="24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w:t>
            </w:r>
          </w:p>
        </w:tc>
        <w:tc>
          <w:tcPr>
            <w:tcW w:w="10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2,843</w:t>
            </w:r>
          </w:p>
        </w:tc>
        <w:tc>
          <w:tcPr>
            <w:tcW w:w="346" w:type="dxa"/>
            <w:tcBorders/>
            <w:vAlign w:val="center"/>
          </w:tcPr>
          <w:p>
            <w:pPr>
              <w:pStyle w:val="TableContents"/>
              <w:bidi w:val="0"/>
              <w:spacing w:before="0" w:after="1"/>
              <w:ind w:left="0" w:right="0" w:hanging="0"/>
              <w:jc w:val="left"/>
              <w:rPr/>
            </w:pPr>
            <w:r>
              <w:rPr/>
              <w:t>​</w:t>
            </w:r>
          </w:p>
        </w:tc>
        <w:tc>
          <w:tcPr>
            <w:tcW w:w="325" w:type="dxa"/>
            <w:tcBorders/>
            <w:vAlign w:val="center"/>
          </w:tcPr>
          <w:p>
            <w:pPr>
              <w:pStyle w:val="TableContents"/>
              <w:bidi w:val="0"/>
              <w:spacing w:before="0" w:after="1"/>
              <w:ind w:left="0" w:right="0" w:hanging="0"/>
              <w:jc w:val="left"/>
              <w:rPr/>
            </w:pPr>
            <w:r>
              <w:rPr/>
              <w:t>​</w:t>
            </w:r>
          </w:p>
        </w:tc>
        <w:tc>
          <w:tcPr>
            <w:tcW w:w="9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w:t>
            </w:r>
          </w:p>
        </w:tc>
      </w:tr>
      <w:tr>
        <w:trPr/>
        <w:tc>
          <w:tcPr>
            <w:tcW w:w="24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pPr>
            <w:r>
              <w:rPr/>
              <w:t>​</w:t>
            </w:r>
          </w:p>
        </w:tc>
        <w:tc>
          <w:tcPr>
            <w:tcW w:w="10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3,599</w:t>
            </w:r>
          </w:p>
        </w:tc>
        <w:tc>
          <w:tcPr>
            <w:tcW w:w="346" w:type="dxa"/>
            <w:tcBorders/>
            <w:shd w:fill="CCEEFF" w:val="clear"/>
            <w:vAlign w:val="center"/>
          </w:tcPr>
          <w:p>
            <w:pPr>
              <w:pStyle w:val="TableContents"/>
              <w:bidi w:val="0"/>
              <w:spacing w:before="0" w:after="1"/>
              <w:ind w:left="0" w:right="0" w:hanging="0"/>
              <w:jc w:val="left"/>
              <w:rPr/>
            </w:pPr>
            <w:r>
              <w:rPr/>
              <w:t>​</w:t>
            </w:r>
          </w:p>
        </w:tc>
        <w:tc>
          <w:tcPr>
            <w:tcW w:w="325" w:type="dxa"/>
            <w:tcBorders/>
            <w:shd w:fill="CCEEFF" w:val="clear"/>
            <w:vAlign w:val="center"/>
          </w:tcPr>
          <w:p>
            <w:pPr>
              <w:pStyle w:val="TableContents"/>
              <w:bidi w:val="0"/>
              <w:spacing w:before="0" w:after="1"/>
              <w:ind w:left="0" w:right="0" w:hanging="0"/>
              <w:jc w:val="left"/>
              <w:rPr/>
            </w:pPr>
            <w:r>
              <w:rPr/>
              <w:t>​</w:t>
            </w:r>
          </w:p>
        </w:tc>
        <w:tc>
          <w:tcPr>
            <w:tcW w:w="9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w:t>
            </w:r>
          </w:p>
        </w:tc>
      </w:tr>
      <w:tr>
        <w:trPr/>
        <w:tc>
          <w:tcPr>
            <w:tcW w:w="24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w:t>
            </w:r>
          </w:p>
        </w:tc>
        <w:tc>
          <w:tcPr>
            <w:tcW w:w="10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3,599</w:t>
            </w:r>
          </w:p>
        </w:tc>
        <w:tc>
          <w:tcPr>
            <w:tcW w:w="346" w:type="dxa"/>
            <w:tcBorders/>
            <w:vAlign w:val="center"/>
          </w:tcPr>
          <w:p>
            <w:pPr>
              <w:pStyle w:val="TableContents"/>
              <w:bidi w:val="0"/>
              <w:spacing w:before="0" w:after="1"/>
              <w:ind w:left="0" w:right="0" w:hanging="0"/>
              <w:jc w:val="left"/>
              <w:rPr/>
            </w:pPr>
            <w:r>
              <w:rPr/>
              <w:t>​</w:t>
            </w:r>
          </w:p>
        </w:tc>
        <w:tc>
          <w:tcPr>
            <w:tcW w:w="325" w:type="dxa"/>
            <w:tcBorders/>
            <w:vAlign w:val="center"/>
          </w:tcPr>
          <w:p>
            <w:pPr>
              <w:pStyle w:val="TableContents"/>
              <w:bidi w:val="0"/>
              <w:spacing w:before="0" w:after="1"/>
              <w:ind w:left="0" w:right="0" w:hanging="0"/>
              <w:jc w:val="left"/>
              <w:rPr/>
            </w:pPr>
            <w:r>
              <w:rPr/>
              <w:t>​</w:t>
            </w:r>
          </w:p>
        </w:tc>
        <w:tc>
          <w:tcPr>
            <w:tcW w:w="9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w:t>
            </w:r>
          </w:p>
        </w:tc>
      </w:tr>
      <w:tr>
        <w:trPr/>
        <w:tc>
          <w:tcPr>
            <w:tcW w:w="24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pPr>
            <w:r>
              <w:rPr/>
              <w:t>​</w:t>
            </w:r>
          </w:p>
        </w:tc>
        <w:tc>
          <w:tcPr>
            <w:tcW w:w="10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3,599</w:t>
            </w:r>
          </w:p>
        </w:tc>
        <w:tc>
          <w:tcPr>
            <w:tcW w:w="346" w:type="dxa"/>
            <w:tcBorders/>
            <w:shd w:fill="CCEEFF" w:val="clear"/>
            <w:vAlign w:val="center"/>
          </w:tcPr>
          <w:p>
            <w:pPr>
              <w:pStyle w:val="TableContents"/>
              <w:bidi w:val="0"/>
              <w:spacing w:before="0" w:after="1"/>
              <w:ind w:left="0" w:right="0" w:hanging="0"/>
              <w:jc w:val="left"/>
              <w:rPr/>
            </w:pPr>
            <w:r>
              <w:rPr/>
              <w:t>​</w:t>
            </w:r>
          </w:p>
        </w:tc>
        <w:tc>
          <w:tcPr>
            <w:tcW w:w="325" w:type="dxa"/>
            <w:tcBorders/>
            <w:shd w:fill="CCEEFF" w:val="clear"/>
            <w:vAlign w:val="center"/>
          </w:tcPr>
          <w:p>
            <w:pPr>
              <w:pStyle w:val="TableContents"/>
              <w:bidi w:val="0"/>
              <w:spacing w:before="0" w:after="1"/>
              <w:ind w:left="0" w:right="0" w:hanging="0"/>
              <w:jc w:val="left"/>
              <w:rPr/>
            </w:pPr>
            <w:r>
              <w:rPr/>
              <w:t>​</w:t>
            </w:r>
          </w:p>
        </w:tc>
        <w:tc>
          <w:tcPr>
            <w:tcW w:w="905" w:type="dxa"/>
            <w:tcBorders/>
            <w:shd w:fill="CCEEFF" w:val="clear"/>
            <w:vAlign w:val="center"/>
          </w:tcPr>
          <w:p>
            <w:pPr>
              <w:pStyle w:val="TableContents"/>
              <w:bidi w:val="0"/>
              <w:spacing w:before="0" w:after="1"/>
              <w:ind w:left="0" w:right="0" w:hanging="0"/>
              <w:jc w:val="right"/>
              <w:rPr/>
            </w:pPr>
            <w:r>
              <w:rPr/>
              <w:t>—</w:t>
            </w:r>
          </w:p>
        </w:tc>
      </w:tr>
      <w:tr>
        <w:trPr/>
        <w:tc>
          <w:tcPr>
            <w:tcW w:w="24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2031</w:t>
            </w:r>
          </w:p>
        </w:tc>
        <w:tc>
          <w:tcPr>
            <w:tcW w:w="346"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w:t>
            </w:r>
          </w:p>
        </w:tc>
        <w:tc>
          <w:tcPr>
            <w:tcW w:w="10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2,477</w:t>
            </w:r>
          </w:p>
        </w:tc>
        <w:tc>
          <w:tcPr>
            <w:tcW w:w="346" w:type="dxa"/>
            <w:tcBorders/>
            <w:vAlign w:val="center"/>
          </w:tcPr>
          <w:p>
            <w:pPr>
              <w:pStyle w:val="TableContents"/>
              <w:bidi w:val="0"/>
              <w:spacing w:before="0" w:after="1"/>
              <w:ind w:left="0" w:right="0" w:hanging="0"/>
              <w:jc w:val="left"/>
              <w:rPr/>
            </w:pPr>
            <w:r>
              <w:rPr/>
              <w:t>​</w:t>
            </w:r>
          </w:p>
        </w:tc>
        <w:tc>
          <w:tcPr>
            <w:tcW w:w="325" w:type="dxa"/>
            <w:tcBorders/>
            <w:vAlign w:val="center"/>
          </w:tcPr>
          <w:p>
            <w:pPr>
              <w:pStyle w:val="TableContents"/>
              <w:bidi w:val="0"/>
              <w:spacing w:before="0" w:after="1"/>
              <w:ind w:left="0" w:right="0" w:hanging="0"/>
              <w:jc w:val="left"/>
              <w:rPr/>
            </w:pPr>
            <w:r>
              <w:rPr/>
              <w:t>​</w:t>
            </w:r>
          </w:p>
        </w:tc>
        <w:tc>
          <w:tcPr>
            <w:tcW w:w="905" w:type="dxa"/>
            <w:tcBorders/>
            <w:vAlign w:val="center"/>
          </w:tcPr>
          <w:p>
            <w:pPr>
              <w:pStyle w:val="TableContents"/>
              <w:bidi w:val="0"/>
              <w:spacing w:before="0" w:after="1"/>
              <w:ind w:left="0" w:right="0" w:hanging="0"/>
              <w:jc w:val="right"/>
              <w:rPr/>
            </w:pPr>
            <w:r>
              <w:rPr/>
              <w:t>—</w:t>
            </w:r>
          </w:p>
        </w:tc>
      </w:tr>
      <w:tr>
        <w:trPr/>
        <w:tc>
          <w:tcPr>
            <w:tcW w:w="24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Present value adjustment</w:t>
            </w:r>
          </w:p>
        </w:tc>
        <w:tc>
          <w:tcPr>
            <w:tcW w:w="346" w:type="dxa"/>
            <w:tcBorders/>
            <w:shd w:fill="CCEEFF" w:val="clear"/>
            <w:vAlign w:val="center"/>
          </w:tcPr>
          <w:p>
            <w:pPr>
              <w:pStyle w:val="TableContents"/>
              <w:bidi w:val="0"/>
              <w:spacing w:before="0" w:after="1"/>
              <w:ind w:left="0" w:right="0" w:hanging="0"/>
              <w:jc w:val="left"/>
              <w:rPr/>
            </w:pPr>
            <w:r>
              <w:rPr/>
              <w:t> </w:t>
            </w:r>
          </w:p>
        </w:tc>
        <w:tc>
          <w:tcPr>
            <w:tcW w:w="3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(2,655)</w:t>
            </w:r>
          </w:p>
        </w:tc>
        <w:tc>
          <w:tcPr>
            <w:tcW w:w="346" w:type="dxa"/>
            <w:tcBorders/>
            <w:shd w:fill="CCEEFF" w:val="clear"/>
            <w:vAlign w:val="center"/>
          </w:tcPr>
          <w:p>
            <w:pPr>
              <w:pStyle w:val="TableContents"/>
              <w:bidi w:val="0"/>
              <w:spacing w:before="0" w:after="1"/>
              <w:ind w:left="0" w:right="0" w:hanging="0"/>
              <w:jc w:val="left"/>
              <w:rPr/>
            </w:pPr>
            <w:r>
              <w:rPr/>
              <w:t> </w:t>
            </w:r>
          </w:p>
        </w:tc>
        <w:tc>
          <w:tcPr>
            <w:tcW w:w="3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w:t>
            </w:r>
          </w:p>
        </w:tc>
      </w:tr>
      <w:tr>
        <w:trPr/>
        <w:tc>
          <w:tcPr>
            <w:tcW w:w="24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lease liabilities</w:t>
            </w:r>
          </w:p>
        </w:tc>
        <w:tc>
          <w:tcPr>
            <w:tcW w:w="346"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w:t>
            </w:r>
          </w:p>
        </w:tc>
        <w:tc>
          <w:tcPr>
            <w:tcW w:w="10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14,450</w:t>
            </w:r>
          </w:p>
        </w:tc>
        <w:tc>
          <w:tcPr>
            <w:tcW w:w="346" w:type="dxa"/>
            <w:tcBorders/>
            <w:vAlign w:val="center"/>
          </w:tcPr>
          <w:p>
            <w:pPr>
              <w:pStyle w:val="TableContents"/>
              <w:bidi w:val="0"/>
              <w:spacing w:before="0" w:after="1"/>
              <w:ind w:left="0" w:right="0" w:hanging="0"/>
              <w:jc w:val="left"/>
              <w:rPr/>
            </w:pPr>
            <w:r>
              <w:rPr/>
              <w:t>​</w:t>
            </w:r>
          </w:p>
        </w:tc>
        <w:tc>
          <w:tcPr>
            <w:tcW w:w="325" w:type="dxa"/>
            <w:tcBorders/>
            <w:vAlign w:val="center"/>
          </w:tcPr>
          <w:p>
            <w:pPr>
              <w:pStyle w:val="TableContents"/>
              <w:bidi w:val="0"/>
              <w:spacing w:before="0" w:after="1"/>
              <w:ind w:left="0" w:right="0" w:hanging="0"/>
              <w:jc w:val="left"/>
              <w:rPr/>
            </w:pPr>
            <w:r>
              <w:rPr/>
              <w:t>​</w:t>
            </w:r>
          </w:p>
        </w:tc>
        <w:tc>
          <w:tcPr>
            <w:tcW w:w="9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762</w:t>
            </w:r>
          </w:p>
        </w:tc>
      </w:tr>
      <w:tr>
        <w:trPr/>
        <w:tc>
          <w:tcPr>
            <w:tcW w:w="2431"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current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(770)</w:t>
            </w:r>
          </w:p>
        </w:tc>
        <w:tc>
          <w:tcPr>
            <w:tcW w:w="346" w:type="dxa"/>
            <w:tcBorders/>
            <w:shd w:fill="CCEEFF" w:val="clear"/>
            <w:vAlign w:val="center"/>
          </w:tcPr>
          <w:p>
            <w:pPr>
              <w:pStyle w:val="TableContents"/>
              <w:bidi w:val="0"/>
              <w:spacing w:before="0" w:after="1"/>
              <w:ind w:left="0" w:right="0" w:hanging="0"/>
              <w:jc w:val="left"/>
              <w:rPr/>
            </w:pPr>
            <w:r>
              <w:rPr/>
              <w:t>​</w:t>
            </w:r>
          </w:p>
        </w:tc>
        <w:tc>
          <w:tcPr>
            <w:tcW w:w="3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w:t>
            </w:r>
          </w:p>
        </w:tc>
      </w:tr>
      <w:tr>
        <w:trPr/>
        <w:tc>
          <w:tcPr>
            <w:tcW w:w="24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 term lease liabilities</w:t>
            </w:r>
          </w:p>
        </w:tc>
        <w:tc>
          <w:tcPr>
            <w:tcW w:w="346" w:type="dxa"/>
            <w:tcBorders/>
            <w:vAlign w:val="center"/>
          </w:tcPr>
          <w:p>
            <w:pPr>
              <w:pStyle w:val="TableContents"/>
              <w:bidi w:val="0"/>
              <w:spacing w:before="0" w:after="1"/>
              <w:ind w:left="0" w:right="0" w:hanging="0"/>
              <w:jc w:val="left"/>
              <w:rPr/>
            </w:pPr>
            <w:r>
              <w:rPr/>
              <w:t>​</w:t>
            </w:r>
          </w:p>
        </w:tc>
        <w:tc>
          <w:tcPr>
            <w:tcW w:w="31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13,680</w:t>
            </w:r>
          </w:p>
        </w:tc>
        <w:tc>
          <w:tcPr>
            <w:tcW w:w="346" w:type="dxa"/>
            <w:tcBorders/>
            <w:vAlign w:val="center"/>
          </w:tcPr>
          <w:p>
            <w:pPr>
              <w:pStyle w:val="TableContents"/>
              <w:bidi w:val="0"/>
              <w:spacing w:before="0" w:after="1"/>
              <w:ind w:left="0" w:right="0" w:hanging="0"/>
              <w:jc w:val="left"/>
              <w:rPr/>
            </w:pPr>
            <w:r>
              <w:rPr/>
              <w:t>​</w:t>
            </w:r>
          </w:p>
        </w:tc>
        <w:tc>
          <w:tcPr>
            <w:tcW w:w="32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551</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Other commitments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has entered into various agreements with contract research organizations to provide clinical trial services, contract manufacturing organizations to provide clinical trial materials and with vendors for preclinical research studies, synthetic chemistry and other services for operating purposes. These contracts are generally cancelable at any time upon less than 90 days’ prior written notice. The Company is not contractually able to terminate for convenience and avoid any and all future obligations to these vendors. In some cases, the Company is contractually obligated to make certain minimum payments to the vendors, based on the timing of the termination notification and the exact terms of the agreement.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shd w:fill="FFFFFF" w:val="clear"/>
        </w:rPr>
        <w:t>The Company has also entered into separate agreements with third parties which provide for various future milestone payments upon the achievement of specified development, regulatory, commercial and sales-based milestones with an aggregate total value of $105.8</w:t>
      </w:r>
      <w:r>
        <w:rPr>
          <w:rFonts w:ascii="Times New Roman;Times;serif" w:hAnsi="Times New Roman;Times;serif"/>
          <w:sz w:val="20"/>
        </w:rPr>
        <w:t xml:space="preserve"> million, as well as potential future royalty and other payments at percentages ranging from very low to low single digits. These additional milestone payments are contingent upon future events that are not considered probable of achievement as of June 30, 2026. As of June 30, 2026, the Company was unable to estimate the timing or likelihood of achieving any of these milestones.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Legal proceedings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From time to time, the Company or its subsidiaries may become involved in various legal proceedings and claims, either asserted or unasserted, which arise in the ordinary course of business. The Company is currently not subject to any material legal proceedings. At each reporting date, the Company evaluates whether or not a potential loss amount, or a potential range of loss, is probable and reasonably estimable under the provisions of ASC 450, </w:t>
      </w:r>
      <w:r>
        <w:rPr>
          <w:rFonts w:ascii="Times New Roman;Times;serif" w:hAnsi="Times New Roman;Times;serif"/>
          <w:i/>
          <w:sz w:val="20"/>
        </w:rPr>
        <w:t>Contingencies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Indemnification obligations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The Company also has indemnification obligations towards members of its board of directors and officers that will require the Company, among other things, to indemnify them against certain liabilities that may arise by reason of their status or service as directors or officers. In addition, the Company has agreed to indemnify certain investors in limited circumstances. The maximum potential amount of future payments the Company could be required to make under these indemnification arrangements is, in many cases, unlimited. To date, the Company has not incurred any material costs as a result of such indemnification obligations. The Company is not aware of any claims under indemnification arrangements, and therefore it has not accrued any liabilities related to such obligations in its condensed consolidated financial statements as of June 30, 2026 and December 31,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914" w:name="Tc_BTrlyIA3CEWlpmD-4IDkyQ_4_0"/>
      <w:bookmarkStart w:id="915" w:name="Tc_bfAfLl7GNEWe7gtlT1zmFg_3_0"/>
      <w:bookmarkStart w:id="916" w:name="Tc_fdyWO6N84ku_ObuGqJyZvQ_2_4"/>
      <w:bookmarkStart w:id="917" w:name="Tc_600O22V_W0SzifMTOAmQmg_2_2"/>
      <w:bookmarkStart w:id="918" w:name="Tc_jzPJb-8_J06WVDBus3JWNA_1_2"/>
      <w:bookmarkStart w:id="919" w:name="Tc_K_n6KUq1j0mktr9xN_N1kw_8_11"/>
      <w:bookmarkStart w:id="920" w:name="Tc_NzOWSCmFbEWoNW-ayNFFuw_8_8"/>
      <w:bookmarkStart w:id="921" w:name="Tc_H4desD9WT02omgQJGtOvTg_8_5"/>
      <w:bookmarkStart w:id="922" w:name="Tc_aQS93jwz0EuDyVSHzofviw_8_2"/>
      <w:bookmarkStart w:id="923" w:name="Tc_9a01-7R2r0u1S_QkNDPGSA_8_0"/>
      <w:bookmarkStart w:id="924" w:name="Tc_qqybXcQs9EGKyR0IE3Dzjw_7_0"/>
      <w:bookmarkStart w:id="925" w:name="Tc_2vQuWqXaSkShe-dI1o9g3Q_6_0"/>
      <w:bookmarkStart w:id="926" w:name="Tc_hqoL1V_FbEmUoa9aKPEEMw_5_11"/>
      <w:bookmarkStart w:id="927" w:name="Tc_vVS1bO3kwkayMwfEMbPsDQ_5_8"/>
      <w:bookmarkStart w:id="928" w:name="Tc_2CKMho_FMk-naF_hvs-exQ_5_5"/>
      <w:bookmarkStart w:id="929" w:name="Tc_snHLEYDI_kufzlYbOUcvnw_5_2"/>
      <w:bookmarkStart w:id="930" w:name="Tc_IDPA-DhBikmuOf8gUFVo2g_5_0"/>
      <w:bookmarkStart w:id="931" w:name="Tc_0wPaZbHKWk6yZfjWckpKYQ_4_0"/>
      <w:bookmarkStart w:id="932" w:name="Tc_IovsYO3kAUiilq4aXe0TxA_3_11"/>
      <w:bookmarkStart w:id="933" w:name="Tc_Umo--e_OiUSloQiAZbYI7g_3_8"/>
      <w:bookmarkStart w:id="934" w:name="Tc_SKjm0YacBEmTedG_FHzqsw_3_5"/>
      <w:bookmarkStart w:id="935" w:name="Tc_EYDj31en7ECmgmJNZLm3VA_3_2"/>
      <w:bookmarkStart w:id="936" w:name="Tc_wsajGbCo40CcUfAVM56zXg_2_8"/>
      <w:bookmarkStart w:id="937" w:name="Tc_Dhvl9KyHCUOqjk6jEKQydA_2_2"/>
      <w:bookmarkStart w:id="938" w:name="Tc_sXXsqnXrZEeh48f370gTXA_1_8"/>
      <w:bookmarkStart w:id="939" w:name="Tc_S_7B6I3v6UmfgMb9-Xqrrw_1_2"/>
      <w:bookmarkStart w:id="940" w:name="_e2203e60_c83a_475c_9f5b_144c6192b6c0"/>
      <w:bookmarkStart w:id="941" w:name="_66f258f2_8668_41a7_94e3_7df1019ba735"/>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r>
        <w:rPr>
          <w:rFonts w:ascii="Times New Roman;Times;serif" w:hAnsi="Times New Roman;Times;serif"/>
          <w:b/>
          <w:sz w:val="20"/>
        </w:rPr>
        <w:t>11. Net loss per share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Basic and diluted net loss per share was calculated as follows (in thousands, except share and per share amounts):</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3788"/>
        <w:gridCol w:w="346"/>
        <w:gridCol w:w="211"/>
        <w:gridCol w:w="1036"/>
        <w:gridCol w:w="346"/>
        <w:gridCol w:w="211"/>
        <w:gridCol w:w="1036"/>
        <w:gridCol w:w="346"/>
        <w:gridCol w:w="211"/>
        <w:gridCol w:w="1036"/>
        <w:gridCol w:w="346"/>
        <w:gridCol w:w="211"/>
        <w:gridCol w:w="1081"/>
      </w:tblGrid>
      <w:tr>
        <w:trPr/>
        <w:tc>
          <w:tcPr>
            <w:tcW w:w="37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405380" cy="175260"/>
                      <wp:effectExtent l="0" t="0" r="0" b="0"/>
                      <wp:wrapNone/>
                      <wp:docPr id="190" name="Frame190"/>
                      <a:graphic xmlns:a="http://schemas.openxmlformats.org/drawingml/2006/main">
                        <a:graphicData uri="http://schemas.microsoft.com/office/word/2010/wordprocessingShape">
                          <wps:wsp>
                            <wps:cNvSpPr txBox="1"/>
                            <wps:spPr>
                              <a:xfrm>
                                <a:off x="0" y="0"/>
                                <a:ext cx="2405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19710" cy="175260"/>
                      <wp:effectExtent l="0" t="0" r="0" b="0"/>
                      <wp:wrapNone/>
                      <wp:docPr id="191" name="Frame1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33985" cy="175260"/>
                      <wp:effectExtent l="0" t="0" r="0" b="0"/>
                      <wp:wrapNone/>
                      <wp:docPr id="192" name="Frame1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57860" cy="175260"/>
                      <wp:effectExtent l="0" t="0" r="0" b="0"/>
                      <wp:wrapNone/>
                      <wp:docPr id="193" name="Frame19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19710" cy="175260"/>
                      <wp:effectExtent l="0" t="0" r="0" b="0"/>
                      <wp:wrapNone/>
                      <wp:docPr id="194" name="Frame1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33985" cy="175260"/>
                      <wp:effectExtent l="0" t="0" r="0" b="0"/>
                      <wp:wrapNone/>
                      <wp:docPr id="195" name="Frame1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57860" cy="175260"/>
                      <wp:effectExtent l="0" t="0" r="0" b="0"/>
                      <wp:wrapNone/>
                      <wp:docPr id="196" name="Frame19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19710" cy="175260"/>
                      <wp:effectExtent l="0" t="0" r="0" b="0"/>
                      <wp:wrapNone/>
                      <wp:docPr id="197" name="Frame1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33985" cy="175260"/>
                      <wp:effectExtent l="0" t="0" r="0" b="0"/>
                      <wp:wrapNone/>
                      <wp:docPr id="198" name="Frame1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57860" cy="175260"/>
                      <wp:effectExtent l="0" t="0" r="0" b="0"/>
                      <wp:wrapNone/>
                      <wp:docPr id="199" name="Frame19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19710" cy="175260"/>
                      <wp:effectExtent l="0" t="0" r="0" b="0"/>
                      <wp:wrapNone/>
                      <wp:docPr id="200" name="Frame2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33985" cy="175260"/>
                      <wp:effectExtent l="0" t="0" r="0" b="0"/>
                      <wp:wrapNone/>
                      <wp:docPr id="201" name="Frame2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86435" cy="175260"/>
                      <wp:effectExtent l="0" t="0" r="0" b="0"/>
                      <wp:wrapNone/>
                      <wp:docPr id="202" name="Frame202"/>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4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center"/>
              <w:rPr/>
            </w:pPr>
            <w:r>
              <w:rPr/>
              <w:t>​</w:t>
            </w:r>
          </w:p>
        </w:tc>
        <w:tc>
          <w:tcPr>
            <w:tcW w:w="288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7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28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7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7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Numerator: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r>
      <w:tr>
        <w:trPr/>
        <w:tc>
          <w:tcPr>
            <w:tcW w:w="37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(50,333)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(78,952)</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(111,158)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(139,706)</w:t>
            </w:r>
          </w:p>
        </w:tc>
      </w:tr>
      <w:tr>
        <w:trPr/>
        <w:tc>
          <w:tcPr>
            <w:tcW w:w="37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pPr>
            <w:r>
              <w:rPr/>
              <w:t>  ​</w:t>
            </w:r>
          </w:p>
        </w:tc>
      </w:tr>
      <w:tr>
        <w:trPr/>
        <w:tc>
          <w:tcPr>
            <w:tcW w:w="37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ordinary shares outstanding, basic and diluted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69,804,828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69,252,009</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69,744,485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69,224,629</w:t>
            </w:r>
          </w:p>
        </w:tc>
      </w:tr>
      <w:tr>
        <w:trPr/>
        <w:tc>
          <w:tcPr>
            <w:tcW w:w="37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 basic and 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potentially dilutive securities, which are options to purchase ordinary shares and RSUs, have been excluded from the computation of diluted net loss per share as the effect would be to reduce the net loss per share. Therefore, the weighted average number of ordinary shares outstanding, which includes both ordinary shares and non-voting ordinary shares, used to calculate both basic and diluted net loss per share is the same. The Company excluded the following potentially dilutive ordinary shares, presented based on amounts outstanding at each period end, from the computation of diluted net loss per share for the periods indicated because including them would have had an anti-dilutive effect:</w:t>
      </w:r>
    </w:p>
    <w:p>
      <w:pPr>
        <w:pStyle w:val="TextBody"/>
        <w:bidi w:val="0"/>
        <w:spacing w:before="0" w:after="0"/>
        <w:ind w:left="0" w:right="0" w:hanging="0"/>
        <w:jc w:val="left"/>
        <w:rPr/>
      </w:pPr>
      <w:r>
        <w:rPr/>
        <w:t>​</w:t>
      </w:r>
    </w:p>
    <w:tbl>
      <w:tblPr>
        <w:tblW w:w="5885" w:type="dxa"/>
        <w:jc w:val="left"/>
        <w:tblInd w:w="0" w:type="dxa"/>
        <w:tblLayout w:type="fixed"/>
        <w:tblCellMar>
          <w:top w:w="0" w:type="dxa"/>
          <w:left w:w="0" w:type="dxa"/>
          <w:bottom w:w="0" w:type="dxa"/>
          <w:right w:w="0" w:type="dxa"/>
        </w:tblCellMar>
      </w:tblPr>
      <w:tblGrid>
        <w:gridCol w:w="3016"/>
        <w:gridCol w:w="346"/>
        <w:gridCol w:w="1036"/>
        <w:gridCol w:w="346"/>
        <w:gridCol w:w="1141"/>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915160" cy="175260"/>
                      <wp:effectExtent l="0" t="0" r="0" b="0"/>
                      <wp:wrapNone/>
                      <wp:docPr id="203" name="Frame203"/>
                      <a:graphic xmlns:a="http://schemas.openxmlformats.org/drawingml/2006/main">
                        <a:graphicData uri="http://schemas.microsoft.com/office/word/2010/wordprocessingShape">
                          <wps:wsp>
                            <wps:cNvSpPr txBox="1"/>
                            <wps:spPr>
                              <a:xfrm>
                                <a:off x="0" y="0"/>
                                <a:ext cx="191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19710" cy="175260"/>
                      <wp:effectExtent l="0" t="0" r="0" b="0"/>
                      <wp:wrapNone/>
                      <wp:docPr id="204" name="Frame2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57860" cy="175260"/>
                      <wp:effectExtent l="0" t="0" r="0" b="0"/>
                      <wp:wrapNone/>
                      <wp:docPr id="205" name="Frame20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19710" cy="175260"/>
                      <wp:effectExtent l="0" t="0" r="0" b="0"/>
                      <wp:wrapNone/>
                      <wp:docPr id="206" name="Frame2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724535" cy="175260"/>
                      <wp:effectExtent l="0" t="0" r="0" b="0"/>
                      <wp:wrapNone/>
                      <wp:docPr id="207" name="Frame207"/>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2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0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2,667,305</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1,891,546</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to purchase ordinary shares</w:t>
            </w:r>
          </w:p>
        </w:tc>
        <w:tc>
          <w:tcPr>
            <w:tcW w:w="34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10,745,868</w:t>
            </w:r>
          </w:p>
        </w:tc>
        <w:tc>
          <w:tcPr>
            <w:tcW w:w="34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10,272,925</w:t>
            </w:r>
          </w:p>
        </w:tc>
      </w:tr>
      <w:tr>
        <w:trPr/>
        <w:tc>
          <w:tcPr>
            <w:tcW w:w="30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13,413,173</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12,164,471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12. Segments and geographic information</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operates and manages its business as a </w:t>
      </w:r>
      <w:r>
        <w:rPr>
          <w:rFonts w:ascii="Times New Roman;Times;serif" w:hAnsi="Times New Roman;Times;serif"/>
          <w:b w:val="false"/>
          <w:i w:val="false"/>
          <w:caps w:val="false"/>
          <w:smallCaps w:val="false"/>
          <w:sz w:val="20"/>
        </w:rPr>
        <w:t>single</w:t>
      </w:r>
      <w:r>
        <w:rPr>
          <w:rFonts w:ascii="Times New Roman;Times;serif" w:hAnsi="Times New Roman;Times;serif"/>
          <w:sz w:val="20"/>
        </w:rPr>
        <w:t xml:space="preserve"> operating </w:t>
      </w:r>
      <w:r>
        <w:rPr>
          <w:rFonts w:ascii="Times New Roman;Times;serif" w:hAnsi="Times New Roman;Times;serif"/>
          <w:b w:val="false"/>
          <w:i w:val="false"/>
          <w:caps w:val="false"/>
          <w:smallCaps w:val="false"/>
          <w:sz w:val="20"/>
        </w:rPr>
        <w:t>segment</w:t>
      </w:r>
      <w:r>
        <w:rPr>
          <w:rFonts w:ascii="Times New Roman;Times;serif" w:hAnsi="Times New Roman;Times;serif"/>
          <w:sz w:val="20"/>
        </w:rPr>
        <w:t>, which is developing a unique class of chemically synthesized medicines based on its proprietary platform. The Company’s chief operating decision maker (“CODM”) is the Company’s Chief Executive Officer (“CEO”). The CODM reviews consolidated operating results, manages the business on a consolidated basis and utilizes consolidated net loss from the consolidated statements of operations and comprehensive loss as the primary measure of segment profit or loss in making decisions surrounding allocating resources and assessing performance of the Company. The CODM is regularly provided detailed expense information, including expenses by program and expense category, and the CODM makes decisions surrounding capital and personnel allocation using this information on a consolidated basis.</w:t>
      </w:r>
    </w:p>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bookmarkStart w:id="942" w:name="Tc_snMck62qBkm20KNJE-3mAw_5_5"/>
      <w:bookmarkStart w:id="943" w:name="Tc_47RlZrXzi0qfOczroZS_jQ_5_2"/>
      <w:bookmarkStart w:id="944" w:name="Tc_rfuJDvCrv02EzqxfuqXzIw_4_0"/>
      <w:bookmarkStart w:id="945" w:name="Tc_FPfHJbm8w0u8HRL-vOWsyg_3_5"/>
      <w:bookmarkStart w:id="946" w:name="Tc_AY3NUsljLUeECyS2PnhJuA_3_2"/>
      <w:bookmarkStart w:id="947" w:name="Tc_EY965Rj5m0uqX7SsHCChyg_3_0"/>
      <w:bookmarkStart w:id="948" w:name="Tc_mBLkHhnznEKcLuxF72X8cA_2_5"/>
      <w:bookmarkStart w:id="949" w:name="Tc_1muEahK7NU-XM-cjyv5EWQ_2_2"/>
      <w:bookmarkStart w:id="950" w:name="Tc_EGWMFW9mcU-wMJb5VxK3Cg_1_5"/>
      <w:bookmarkStart w:id="951" w:name="Tc_ytR2C2BHvEigDFRKkRwQzw_1_2"/>
      <w:bookmarkStart w:id="952" w:name="Tc_AEfDarYFL06OKx_bZ5Ngmg_26_11"/>
      <w:bookmarkStart w:id="953" w:name="Tc_QMc1s_yQF0ePKCa4s8rAsw_26_8"/>
      <w:bookmarkStart w:id="954" w:name="Tc_Zt9xa1fMoUmTE6R0itKL8A_26_5"/>
      <w:bookmarkStart w:id="955" w:name="Tc_5sIGuTDFg0uQlgBKGiQfmQ_26_2"/>
      <w:bookmarkStart w:id="956" w:name="Tc_NCXYM3AIJEKTQec5hxGcHw_26_0"/>
      <w:bookmarkStart w:id="957" w:name="Tc_vW67nJiOMUqv4yHWuClNmg_25_0"/>
      <w:bookmarkStart w:id="958" w:name="Tc_whQ5Gk1CykWXzylA3utcqA_24_0"/>
      <w:bookmarkStart w:id="959" w:name="Tc_00aENcObfkOigIGJUUvzKw_23_0"/>
      <w:bookmarkStart w:id="960" w:name="Tc_cG1QcHR5VkGDq5pvN2N6FA_22_0"/>
      <w:bookmarkStart w:id="961" w:name="Tc_z4C47xa1pESNtyat_8S7RA_21_0"/>
      <w:bookmarkStart w:id="962" w:name="Tc_pWnfdQ0oCUaOlGsB2n5qCw_20_0"/>
      <w:bookmarkStart w:id="963" w:name="Tc_pPcWhjkGRkKV00HUn3o2KQ_19_0"/>
      <w:bookmarkStart w:id="964" w:name="Tc_DLVO8zYB_k2DaHNslMbRdA_18_0"/>
      <w:bookmarkStart w:id="965" w:name="Tc_oEsCBmgP5kOTd3KbaeRyzw_17_0"/>
      <w:bookmarkStart w:id="966" w:name="Tc_5-CNtEwh-0iJZXvoonu4ag_16_0"/>
      <w:bookmarkStart w:id="967" w:name="Tc_2PFm6vlorkCkWil_i6YReA_15_0"/>
      <w:bookmarkStart w:id="968" w:name="Tc_h0JFdpQhr0-Zd6DfOq6fkA_14_0"/>
      <w:bookmarkStart w:id="969" w:name="Tc_a4WiFmXoSkuyHKAKIj9yrA_13_0"/>
      <w:bookmarkStart w:id="970" w:name="Tc_2KLDLt9Ug0KBph1VZ1WKOg_12_0"/>
      <w:bookmarkStart w:id="971" w:name="Tc_HFhZrYFDFUuTlbWx7ocJYg_11_0"/>
      <w:bookmarkStart w:id="972" w:name="Tc_C5KwYcTNok6aK7JQUWfKgQ_10_0"/>
      <w:bookmarkStart w:id="973" w:name="Tc_UjFANtY9GEK7pj-_umtAKw_9_12"/>
      <w:bookmarkStart w:id="974" w:name="Tc_DT30wSQauEuqSMQ-mwfmCg_9_6"/>
      <w:bookmarkStart w:id="975" w:name="Tc_PiLnqvD7UU2MytoWB4o16g_9_0"/>
      <w:bookmarkStart w:id="976" w:name="Tc_GTfyY4YmWku191EHT9kjBA_8_0"/>
      <w:bookmarkStart w:id="977" w:name="Tc_onz8047UiUm9NuDR3tlD8Q_7_0"/>
      <w:bookmarkStart w:id="978" w:name="Tc_OQdwwpj1_U6VisK2-wGSzQ_6_0"/>
      <w:bookmarkStart w:id="979" w:name="Tc_f5xeyJU1GUKMivhDkQc7KQ_5_0"/>
      <w:bookmarkStart w:id="980" w:name="Tc_GXxMSqME90e9moHfKX1KNg_4_11"/>
      <w:bookmarkStart w:id="981" w:name="Tc_buGpX8qyxkO3a1Bj4OQXfg_4_8"/>
      <w:bookmarkStart w:id="982" w:name="Tc_iU88dgOHB0m7noM6Appt7g_4_5"/>
      <w:bookmarkStart w:id="983" w:name="Tc_1AncFZQ1qk-rz91WCb0xsQ_4_2"/>
      <w:bookmarkStart w:id="984" w:name="Tc_Qz0BqWIwckW6859CqDWfew_4_0"/>
      <w:bookmarkStart w:id="985" w:name="Tc_ozl_nOUq-Uu7mYIXHYt_og_3_11"/>
      <w:bookmarkStart w:id="986" w:name="Tc_aOkDDEtTrk28uqtBfKZxWg_3_8"/>
      <w:bookmarkStart w:id="987" w:name="Tc_zfXeYHoTzkW5Xo6ndHXKiA_3_5"/>
      <w:bookmarkStart w:id="988" w:name="Tc_Y6vdF5kn_ECapXnENim5jw_3_2"/>
      <w:bookmarkStart w:id="989" w:name="Tc_7tXt1N1dRUmGa7YutrMkiw_2_8"/>
      <w:bookmarkStart w:id="990" w:name="Tc_L9_VHNGfQUe0H6q9qQ7GKg_2_2"/>
      <w:bookmarkStart w:id="991" w:name="Tc_WVwqwWgWgki7WgnGdJrXbw_1_8"/>
      <w:bookmarkStart w:id="992" w:name="Tc_G97BSq_SE0eCU_NzCH-wwg_1_2"/>
      <w:bookmarkStart w:id="993" w:name="_d52420a3_df53_4cfd_ba84_f036bc3dddfb"/>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r>
        <w:rPr>
          <w:rFonts w:ascii="Times New Roman;Times;serif" w:hAnsi="Times New Roman;Times;serif"/>
          <w:sz w:val="20"/>
        </w:rPr>
        <w:t>The following table presents information about the Company’s single operating segment, including significant segment expenses, for the three and six months ended June 30, 2026 and 2025 (in thousands):</w:t>
      </w:r>
    </w:p>
    <w:tbl>
      <w:tblPr>
        <w:tblW w:w="10205" w:type="dxa"/>
        <w:jc w:val="left"/>
        <w:tblInd w:w="0" w:type="dxa"/>
        <w:tblLayout w:type="fixed"/>
        <w:tblCellMar>
          <w:top w:w="0" w:type="dxa"/>
          <w:left w:w="0" w:type="dxa"/>
          <w:bottom w:w="0" w:type="dxa"/>
          <w:right w:w="0" w:type="dxa"/>
        </w:tblCellMar>
      </w:tblPr>
      <w:tblGrid>
        <w:gridCol w:w="4573"/>
        <w:gridCol w:w="346"/>
        <w:gridCol w:w="211"/>
        <w:gridCol w:w="787"/>
        <w:gridCol w:w="346"/>
        <w:gridCol w:w="211"/>
        <w:gridCol w:w="787"/>
        <w:gridCol w:w="346"/>
        <w:gridCol w:w="211"/>
        <w:gridCol w:w="892"/>
        <w:gridCol w:w="346"/>
        <w:gridCol w:w="211"/>
        <w:gridCol w:w="938"/>
      </w:tblGrid>
      <w:tr>
        <w:trPr/>
        <w:tc>
          <w:tcPr>
            <w:tcW w:w="45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903855" cy="175260"/>
                      <wp:effectExtent l="0" t="0" r="0" b="0"/>
                      <wp:wrapNone/>
                      <wp:docPr id="208" name="Frame208"/>
                      <a:graphic xmlns:a="http://schemas.openxmlformats.org/drawingml/2006/main">
                        <a:graphicData uri="http://schemas.microsoft.com/office/word/2010/wordprocessingShape">
                          <wps:wsp>
                            <wps:cNvSpPr txBox="1"/>
                            <wps:spPr>
                              <a:xfrm>
                                <a:off x="0" y="0"/>
                                <a:ext cx="2903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19710" cy="175260"/>
                      <wp:effectExtent l="0" t="0" r="0" b="0"/>
                      <wp:wrapNone/>
                      <wp:docPr id="209" name="Frame2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33985" cy="175260"/>
                      <wp:effectExtent l="0" t="0" r="0" b="0"/>
                      <wp:wrapNone/>
                      <wp:docPr id="210" name="Frame2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499745" cy="175260"/>
                      <wp:effectExtent l="0" t="0" r="0" b="0"/>
                      <wp:wrapNone/>
                      <wp:docPr id="211" name="Frame211"/>
                      <a:graphic xmlns:a="http://schemas.openxmlformats.org/drawingml/2006/main">
                        <a:graphicData uri="http://schemas.microsoft.com/office/word/2010/wordprocessingShape">
                          <wps:wsp>
                            <wps:cNvSpPr txBox="1"/>
                            <wps:spPr>
                              <a:xfrm>
                                <a:off x="0" y="0"/>
                                <a:ext cx="499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19710" cy="175260"/>
                      <wp:effectExtent l="0" t="0" r="0" b="0"/>
                      <wp:wrapNone/>
                      <wp:docPr id="212" name="Frame2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33985" cy="175260"/>
                      <wp:effectExtent l="0" t="0" r="0" b="0"/>
                      <wp:wrapNone/>
                      <wp:docPr id="213" name="Frame2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499745" cy="175260"/>
                      <wp:effectExtent l="0" t="0" r="0" b="0"/>
                      <wp:wrapNone/>
                      <wp:docPr id="214" name="Frame214"/>
                      <a:graphic xmlns:a="http://schemas.openxmlformats.org/drawingml/2006/main">
                        <a:graphicData uri="http://schemas.microsoft.com/office/word/2010/wordprocessingShape">
                          <wps:wsp>
                            <wps:cNvSpPr txBox="1"/>
                            <wps:spPr>
                              <a:xfrm>
                                <a:off x="0" y="0"/>
                                <a:ext cx="499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19710" cy="175260"/>
                      <wp:effectExtent l="0" t="0" r="0" b="0"/>
                      <wp:wrapNone/>
                      <wp:docPr id="215" name="Frame2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33985" cy="175260"/>
                      <wp:effectExtent l="0" t="0" r="0" b="0"/>
                      <wp:wrapNone/>
                      <wp:docPr id="216" name="Frame2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566420" cy="175260"/>
                      <wp:effectExtent l="0" t="0" r="0" b="0"/>
                      <wp:wrapNone/>
                      <wp:docPr id="217" name="Frame217"/>
                      <a:graphic xmlns:a="http://schemas.openxmlformats.org/drawingml/2006/main">
                        <a:graphicData uri="http://schemas.microsoft.com/office/word/2010/wordprocessingShape">
                          <wps:wsp>
                            <wps:cNvSpPr txBox="1"/>
                            <wps:spPr>
                              <a:xfrm>
                                <a:off x="0" y="0"/>
                                <a:ext cx="566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19710" cy="175260"/>
                      <wp:effectExtent l="0" t="0" r="0" b="0"/>
                      <wp:wrapNone/>
                      <wp:docPr id="218" name="Frame2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33985" cy="175260"/>
                      <wp:effectExtent l="0" t="0" r="0" b="0"/>
                      <wp:wrapNone/>
                      <wp:docPr id="219" name="Frame2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595630" cy="175260"/>
                      <wp:effectExtent l="0" t="0" r="0" b="0"/>
                      <wp:wrapNone/>
                      <wp:docPr id="220" name="Frame220"/>
                      <a:graphic xmlns:a="http://schemas.openxmlformats.org/drawingml/2006/main">
                        <a:graphicData uri="http://schemas.microsoft.com/office/word/2010/wordprocessingShape">
                          <wps:wsp>
                            <wps:cNvSpPr txBox="1"/>
                            <wps:spPr>
                              <a:xfrm>
                                <a:off x="0" y="0"/>
                                <a:ext cx="595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7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42"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center"/>
              <w:rPr/>
            </w:pPr>
            <w:r>
              <w:rPr/>
              <w:t>​</w:t>
            </w:r>
          </w:p>
        </w:tc>
        <w:tc>
          <w:tcPr>
            <w:tcW w:w="259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57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4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259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57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1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5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Collaboration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12,897</w:t>
            </w:r>
          </w:p>
        </w:tc>
      </w:tr>
      <w:tr>
        <w:trPr/>
        <w:tc>
          <w:tcPr>
            <w:tcW w:w="45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Significant segment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9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8" w:type="dxa"/>
            <w:tcBorders/>
            <w:vAlign w:val="center"/>
          </w:tcPr>
          <w:p>
            <w:pPr>
              <w:pStyle w:val="TableContents"/>
              <w:bidi w:val="0"/>
              <w:spacing w:before="0" w:after="0"/>
              <w:ind w:left="0" w:right="0" w:hanging="0"/>
              <w:jc w:val="right"/>
              <w:rPr/>
            </w:pPr>
            <w:r>
              <w:rPr/>
              <w:t>​</w:t>
            </w:r>
          </w:p>
        </w:tc>
      </w:tr>
      <w:tr>
        <w:trPr/>
        <w:tc>
          <w:tcPr>
            <w:tcW w:w="45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92"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8" w:type="dxa"/>
            <w:tcBorders/>
            <w:shd w:fill="CCEEFF" w:val="clear"/>
            <w:vAlign w:val="center"/>
          </w:tcPr>
          <w:p>
            <w:pPr>
              <w:pStyle w:val="TableContents"/>
              <w:bidi w:val="0"/>
              <w:spacing w:before="0" w:after="0"/>
              <w:ind w:left="0" w:right="0" w:hanging="0"/>
              <w:jc w:val="right"/>
              <w:rPr/>
            </w:pPr>
            <w:r>
              <w:rPr/>
              <w:t>  ​</w:t>
            </w:r>
          </w:p>
        </w:tc>
      </w:tr>
      <w:tr>
        <w:trPr/>
        <w:tc>
          <w:tcPr>
            <w:tcW w:w="45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Zelenectide pevedotin (Nectin-4 BDC)</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19,565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44,396</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76,743</w:t>
            </w:r>
          </w:p>
        </w:tc>
      </w:tr>
      <w:tr>
        <w:trPr/>
        <w:tc>
          <w:tcPr>
            <w:tcW w:w="45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Nuzefatide pevedotin (EphA2 BDC)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1,828</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4,346</w:t>
            </w:r>
          </w:p>
        </w:tc>
      </w:tr>
      <w:tr>
        <w:trPr/>
        <w:tc>
          <w:tcPr>
            <w:tcW w:w="45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BT1702 (MT1-MMP BRC)</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8" w:type="dxa"/>
            <w:tcBorders/>
            <w:vAlign w:val="center"/>
          </w:tcPr>
          <w:p>
            <w:pPr>
              <w:pStyle w:val="TableContents"/>
              <w:bidi w:val="0"/>
              <w:spacing w:before="0" w:after="0"/>
              <w:ind w:left="0" w:right="0" w:hanging="0"/>
              <w:jc w:val="right"/>
              <w:rPr/>
            </w:pPr>
            <w:r>
              <w:rPr/>
              <w:t>—</w:t>
            </w:r>
          </w:p>
        </w:tc>
      </w:tr>
      <w:tr>
        <w:trPr/>
        <w:tc>
          <w:tcPr>
            <w:tcW w:w="45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Bicycle tumor-targeted immune cell agonists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1,112</w:t>
            </w:r>
          </w:p>
        </w:tc>
      </w:tr>
      <w:tr>
        <w:trPr/>
        <w:tc>
          <w:tcPr>
            <w:tcW w:w="45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Discovery, platform and other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8,953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12,496</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16,865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21,144</w:t>
            </w:r>
          </w:p>
        </w:tc>
      </w:tr>
      <w:tr>
        <w:trPr/>
        <w:tc>
          <w:tcPr>
            <w:tcW w:w="45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and contractor related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17,958</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35,544</w:t>
            </w:r>
          </w:p>
        </w:tc>
      </w:tr>
      <w:tr>
        <w:trPr/>
        <w:tc>
          <w:tcPr>
            <w:tcW w:w="45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4,153</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8,505</w:t>
            </w:r>
          </w:p>
        </w:tc>
      </w:tr>
      <w:tr>
        <w:trPr/>
        <w:tc>
          <w:tcPr>
            <w:tcW w:w="45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Facility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1,744</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3,531</w:t>
            </w:r>
          </w:p>
        </w:tc>
      </w:tr>
      <w:tr>
        <w:trPr/>
        <w:tc>
          <w:tcPr>
            <w:tcW w:w="45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incentives and government grants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(6,513)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(11,531)</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(12,548)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(20,838)</w:t>
            </w:r>
          </w:p>
        </w:tc>
      </w:tr>
      <w:tr>
        <w:trPr/>
        <w:tc>
          <w:tcPr>
            <w:tcW w:w="45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research and development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71,029</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130,087</w:t>
            </w:r>
          </w:p>
        </w:tc>
      </w:tr>
      <w:tr>
        <w:trPr/>
        <w:tc>
          <w:tcPr>
            <w:tcW w:w="45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9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8" w:type="dxa"/>
            <w:tcBorders/>
            <w:vAlign w:val="center"/>
          </w:tcPr>
          <w:p>
            <w:pPr>
              <w:pStyle w:val="TableContents"/>
              <w:bidi w:val="0"/>
              <w:spacing w:before="0" w:after="0"/>
              <w:ind w:left="0" w:right="0" w:hanging="0"/>
              <w:jc w:val="right"/>
              <w:rPr/>
            </w:pPr>
            <w:r>
              <w:rPr/>
              <w:t>​</w:t>
            </w:r>
          </w:p>
        </w:tc>
      </w:tr>
      <w:tr>
        <w:trPr/>
        <w:tc>
          <w:tcPr>
            <w:tcW w:w="45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Personnel-related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7,056</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14,106</w:t>
            </w:r>
          </w:p>
        </w:tc>
      </w:tr>
      <w:tr>
        <w:trPr/>
        <w:tc>
          <w:tcPr>
            <w:tcW w:w="45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Professional and consulting fees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4,573</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11,001</w:t>
            </w:r>
          </w:p>
        </w:tc>
      </w:tr>
      <w:tr>
        <w:trPr/>
        <w:tc>
          <w:tcPr>
            <w:tcW w:w="45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general and administrative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2,327</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4,520</w:t>
            </w:r>
          </w:p>
        </w:tc>
      </w:tr>
      <w:tr>
        <w:trPr/>
        <w:tc>
          <w:tcPr>
            <w:tcW w:w="45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5,282</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7,761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10,535</w:t>
            </w:r>
          </w:p>
        </w:tc>
      </w:tr>
      <w:tr>
        <w:trPr/>
        <w:tc>
          <w:tcPr>
            <w:tcW w:w="45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foreign exchange rates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(745)</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w:t>
            </w:r>
          </w:p>
        </w:tc>
      </w:tr>
      <w:tr>
        <w:trPr/>
        <w:tc>
          <w:tcPr>
            <w:tcW w:w="45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general and administrative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14,028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18,493</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31,496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39,616</w:t>
            </w:r>
          </w:p>
        </w:tc>
      </w:tr>
      <w:tr>
        <w:trPr/>
        <w:tc>
          <w:tcPr>
            <w:tcW w:w="45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significant segment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89,522</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121,557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169,703</w:t>
            </w:r>
          </w:p>
        </w:tc>
      </w:tr>
      <w:tr>
        <w:trPr/>
        <w:tc>
          <w:tcPr>
            <w:tcW w:w="4573"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segment items</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7,650</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8,883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17,100</w:t>
            </w:r>
          </w:p>
        </w:tc>
      </w:tr>
      <w:tr>
        <w:trPr/>
        <w:tc>
          <w:tcPr>
            <w:tcW w:w="45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net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(78,952)</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(111,158)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(139,706)</w:t>
            </w:r>
          </w:p>
        </w:tc>
      </w:tr>
    </w:tbl>
    <w:tbl>
      <w:tblPr>
        <w:tblW w:w="8882" w:type="dxa"/>
        <w:jc w:val="left"/>
        <w:tblInd w:w="0" w:type="dxa"/>
        <w:tblLayout w:type="fixed"/>
        <w:tblCellMar>
          <w:top w:w="0" w:type="dxa"/>
          <w:left w:w="0" w:type="dxa"/>
          <w:bottom w:w="0" w:type="dxa"/>
          <w:right w:w="0" w:type="dxa"/>
        </w:tblCellMar>
      </w:tblPr>
      <w:tblGrid>
        <w:gridCol w:w="331"/>
        <w:gridCol w:w="8551"/>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85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Other segment items include interest and other income, interest expense, and provision for (benefit from) income taxes.</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does not regularly provide the CODM with detailed segment asset information other than what is included in the condensed consolidated balance sheets. Please refer to the condensed consolidated financial statements and the accompanying notes to the condensed consolidated financial statements for segment asset information.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operates in two geographic regions: the United States and the United Kingdom. Information about the Company’s long-lived assets, including operating and finance lease right-of-use assets, held in different geographic regions is presented in the table below (in thousands):</w:t>
      </w:r>
    </w:p>
    <w:p>
      <w:pPr>
        <w:pStyle w:val="TextBody"/>
        <w:bidi w:val="0"/>
        <w:spacing w:before="0" w:after="0"/>
        <w:ind w:left="0" w:right="0" w:hanging="0"/>
        <w:jc w:val="left"/>
        <w:rPr/>
      </w:pPr>
      <w:r>
        <w:rPr/>
        <w:t>​</w:t>
      </w:r>
    </w:p>
    <w:tbl>
      <w:tblPr>
        <w:tblW w:w="4205" w:type="dxa"/>
        <w:jc w:val="left"/>
        <w:tblInd w:w="0" w:type="dxa"/>
        <w:tblLayout w:type="fixed"/>
        <w:tblCellMar>
          <w:top w:w="0" w:type="dxa"/>
          <w:left w:w="0" w:type="dxa"/>
          <w:bottom w:w="0" w:type="dxa"/>
          <w:right w:w="0" w:type="dxa"/>
        </w:tblCellMar>
      </w:tblPr>
      <w:tblGrid>
        <w:gridCol w:w="1486"/>
        <w:gridCol w:w="346"/>
        <w:gridCol w:w="211"/>
        <w:gridCol w:w="676"/>
        <w:gridCol w:w="346"/>
        <w:gridCol w:w="242"/>
        <w:gridCol w:w="898"/>
      </w:tblGrid>
      <w:tr>
        <w:trPr/>
        <w:tc>
          <w:tcPr>
            <w:tcW w:w="14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19710" cy="175260"/>
                      <wp:effectExtent l="0" t="0" r="0" b="0"/>
                      <wp:wrapNone/>
                      <wp:docPr id="221" name="Frame2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33985" cy="175260"/>
                      <wp:effectExtent l="0" t="0" r="0" b="0"/>
                      <wp:wrapNone/>
                      <wp:docPr id="222" name="Frame2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429260" cy="175260"/>
                      <wp:effectExtent l="0" t="0" r="0" b="0"/>
                      <wp:wrapNone/>
                      <wp:docPr id="223" name="Frame22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19710" cy="175260"/>
                      <wp:effectExtent l="0" t="0" r="0" b="0"/>
                      <wp:wrapNone/>
                      <wp:docPr id="224" name="Frame2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53670" cy="175260"/>
                      <wp:effectExtent l="0" t="0" r="0" b="0"/>
                      <wp:wrapNone/>
                      <wp:docPr id="225" name="Frame225"/>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570230" cy="175260"/>
                      <wp:effectExtent l="0" t="0" r="0" b="0"/>
                      <wp:wrapNone/>
                      <wp:docPr id="226" name="Frame226"/>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14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4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w:t>
            </w:r>
          </w:p>
        </w:tc>
        <w:tc>
          <w:tcPr>
            <w:tcW w:w="34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863</w:t>
            </w:r>
          </w:p>
        </w:tc>
      </w:tr>
      <w:tr>
        <w:trPr/>
        <w:tc>
          <w:tcPr>
            <w:tcW w:w="14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United Kingdom</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18,432</w:t>
            </w:r>
          </w:p>
        </w:tc>
        <w:tc>
          <w:tcPr>
            <w:tcW w:w="346" w:type="dxa"/>
            <w:tcBorders/>
            <w:vAlign w:val="center"/>
          </w:tcPr>
          <w:p>
            <w:pPr>
              <w:pStyle w:val="TableContents"/>
              <w:bidi w:val="0"/>
              <w:spacing w:before="0" w:after="1"/>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21,044</w:t>
            </w:r>
          </w:p>
        </w:tc>
      </w:tr>
      <w:tr>
        <w:trPr/>
        <w:tc>
          <w:tcPr>
            <w:tcW w:w="14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18,674</w:t>
            </w:r>
          </w:p>
        </w:tc>
        <w:tc>
          <w:tcPr>
            <w:tcW w:w="346" w:type="dxa"/>
            <w:tcBorders/>
            <w:shd w:fill="CCEEFF" w:val="clear"/>
            <w:vAlign w:val="center"/>
          </w:tcPr>
          <w:p>
            <w:pPr>
              <w:pStyle w:val="TableContents"/>
              <w:bidi w:val="0"/>
              <w:spacing w:before="0" w:after="1"/>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21,907</w:t>
            </w:r>
          </w:p>
        </w:tc>
      </w:tr>
    </w:tbl>
    <w:p>
      <w:pPr>
        <w:pStyle w:val="TextBody"/>
        <w:bidi w:val="0"/>
        <w:spacing w:before="0" w:after="24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Company’s collaboration revenue is attributed to the operations of the Company in the United Kingdom.</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13. Subsequent events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July 2026, Bayer provided the Company with a notice of termination of the Bayer Collaboration Agreement, effective in September 2026 after a contractual 60-day notice period. As a result, the Company expects to recognize the remaining deferred revenue under the arrangement of approximately $33.2 million in the third quarter of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994" w:name="Item2ManagementsDiscussionandAnalysis_57"/>
      <w:bookmarkStart w:id="995" w:name="_19bbc7ee_28cc_4194_941d_5f1d3b5e90c6"/>
      <w:bookmarkEnd w:id="994"/>
      <w:bookmarkEnd w:id="995"/>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You should read this discussion and analysis of our financial condition and consolidated results of operations together with our unaudited condensed consolidated financial statements and the related notes appearing elsewhere in this Quarterly Report and our audited financial statements and related notes for the year ended December 31, 2025, included in our Annual Report on Form 10-K for the year ended December 31, 2025, or the 2025 Annual Report, which was filed with the Securities and Exchange Commission, or SEC, on March 17, 2026. Some of the information contained in this discussion and analysis or set forth elsewhere in this Quarterly Report, including statements of our plans, objectives, expectations and intentions, contain forward-looking statements that involve risks and uncertainties. As a result of many factors, including those factors set forth in the “Risk Factors” section of this Quarterly Report, our actual results could differ materially from the results described in or implied by the forward-looking statements contained in the following discussion and analysis. Please also see the section titled “Forward-Looking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lineRule="auto" w:line="240" w:before="0" w:after="240"/>
        <w:ind w:left="0" w:right="0" w:firstLine="720"/>
        <w:jc w:val="left"/>
        <w:rPr>
          <w:rFonts w:ascii="Times New Roman;Times;serif" w:hAnsi="Times New Roman;Times;serif"/>
          <w:sz w:val="20"/>
        </w:rPr>
      </w:pPr>
      <w:r>
        <w:rPr>
          <w:rFonts w:ascii="Times New Roman;Times;serif" w:hAnsi="Times New Roman;Times;serif"/>
          <w:sz w:val="20"/>
        </w:rPr>
        <w:t>We are a clinical-stage pharmaceutical company developing a novel class of medicines, which we refer to as Bicycle</w:t>
      </w:r>
      <w:r>
        <w:rPr>
          <w:rFonts w:ascii="Times New Roman;Times;serif" w:hAnsi="Times New Roman;Times;serif"/>
          <w:sz w:val="15"/>
        </w:rPr>
        <w:t>®</w:t>
      </w:r>
      <w:r>
        <w:rPr>
          <w:rFonts w:ascii="Times New Roman;Times;serif" w:hAnsi="Times New Roman;Times;serif"/>
          <w:sz w:val="20"/>
        </w:rPr>
        <w:t xml:space="preserve"> molecules, for diseases that are underserved by existing therapeutics. Bicycle molecules are fully synthetic short peptides constrained to form two loops which stabilize their structural geometry. This constraint facilitates target binding with high affinity and selectivity, making Bicycle molecules attractive candidates for drug development. Bicycle molecules are a unique therapeutic modality combining the pharmacology usually associated with a biologic with the manufacturing and pharmacokinetic, or PK, properties of a small molecule. The relatively large surface area presented by Bicycle molecules allows targets to be drugged that have historically been intractable to non-biological approaches. Bicycle molecules are excreted by the kidney rather than the liver and have shown no significant signs of immunogenicity to date, qualities which we believe explain the molecules’ favorable toxicological profile.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a novel and proprietary phage display screening platform which we use to identify Bicycle molecules in an efficient manner. The platform initially displays linear peptides on the surface of engineered bacteriophages, or phages, before “on-phage” cyclization with a range of small molecule scaffolds which can confer differentiated physicochemical and structural properties. Our platform encodes quintillions of potential Bicycle molecules which can be screened to identify molecules for optimization to potential product candidates. We have used this powerful screening technology to identify our current portfolio of candidates in oncology and intend to use it in conjunction with our collaborators to seek to develop additional future candidates across a range of other disease areas.</w:t>
      </w:r>
    </w:p>
    <w:p>
      <w:pPr>
        <w:pStyle w:val="TextBody"/>
        <w:bidi w:val="0"/>
        <w:spacing w:lineRule="auto" w:line="240" w:before="0" w:after="240"/>
        <w:ind w:left="0" w:right="0" w:firstLine="720"/>
        <w:jc w:val="left"/>
        <w:rPr>
          <w:rFonts w:ascii="Times New Roman;Times;serif" w:hAnsi="Times New Roman;Times;serif"/>
          <w:sz w:val="20"/>
        </w:rPr>
      </w:pPr>
      <w:r>
        <w:rPr>
          <w:rFonts w:ascii="Times New Roman;Times;serif" w:hAnsi="Times New Roman;Times;serif"/>
          <w:sz w:val="20"/>
        </w:rPr>
        <w:t>Our internal programs are focused on oncology indications with high unmet medical need. Our product candidate, nuzefatide pevedotin (formerly BT5528), is a Bicycle Drug Conjugate, or a BDC</w:t>
      </w:r>
      <w:r>
        <w:rPr>
          <w:rFonts w:ascii="Times New Roman;Times;serif" w:hAnsi="Times New Roman;Times;serif"/>
          <w:sz w:val="15"/>
          <w:shd w:fill="FFFFFF" w:val="clear"/>
        </w:rPr>
        <w:t>®</w:t>
      </w:r>
      <w:r>
        <w:rPr>
          <w:rFonts w:ascii="Times New Roman;Times;serif" w:hAnsi="Times New Roman;Times;serif"/>
          <w:sz w:val="20"/>
        </w:rPr>
        <w:t xml:space="preserve"> molecule, whereby the Bicycle molecules are chemically attached to a toxin that, when administered, is cleaved from the Bicycle molecule and kills the tumor cells. </w:t>
      </w:r>
      <w:r>
        <w:rPr>
          <w:rFonts w:ascii="Times New Roman;Times;serif" w:hAnsi="Times New Roman;Times;serif"/>
          <w:sz w:val="20"/>
          <w:shd w:fill="FFFFFF" w:val="clear"/>
        </w:rPr>
        <w:t xml:space="preserve">We are evaluating nuzefatide pevedotin, a BDC molecule targeting Ephrin type A receptor 2, or EphA2, and carrying </w:t>
      </w:r>
      <w:r>
        <w:rPr>
          <w:rFonts w:ascii="Times New Roman;Times;serif" w:hAnsi="Times New Roman;Times;serif"/>
          <w:sz w:val="20"/>
        </w:rPr>
        <w:t>a monomethyl auristatin E, or MMAE, cytotoxin payload,</w:t>
      </w:r>
      <w:r>
        <w:rPr>
          <w:rFonts w:ascii="Times New Roman;Times;serif" w:hAnsi="Times New Roman;Times;serif"/>
          <w:sz w:val="20"/>
          <w:shd w:fill="FFFFFF" w:val="clear"/>
        </w:rPr>
        <w:t xml:space="preserve"> in both an ongoing company-sponsored Phase I/II clinical trial to assess the safety, pharmacokinetics and clinical activity of nuzefatide pevedotin in patients with advanced solid tumors and an ongoing company-sponsored Phase II clinical trial to evaluate the efficacy, safety and pharmacokinetics of nuzefatide pevedotin in adult patients with recurrent metastatic pancreatic ductal adenocarcinoma. The ongoing company-sponsored Phase II clinical trial commenced recruiting patients in the first quarter of 2026 and we announced that the first patient was dosed in April 2026. In addition, in April 2026, we announced Phase I/II clinical results for nuzefatide pevedotin in combination with nivolumab in patients with metastatic urothelial cancer at the American Association for Cancer Research, or AACR, Annual Meeting 2026. We also announced preclinical assessments of nuzefatide pevedotin anti-tumor activity in xenograft models of pancreatic ductal adenocarcinoma and head and neck squamous cell carcinoma.</w:t>
      </w:r>
    </w:p>
    <w:p>
      <w:pPr>
        <w:pStyle w:val="TextBody"/>
        <w:bidi w:val="0"/>
        <w:spacing w:lineRule="auto" w:line="240"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We are also developing BT1702, a Bicycle Radioconjugate, or BRC</w:t>
      </w:r>
      <w:r>
        <w:rPr>
          <w:rFonts w:ascii="Times New Roman;Times;serif" w:hAnsi="Times New Roman;Times;serif"/>
          <w:sz w:val="15"/>
          <w:shd w:fill="FFFFFF" w:val="clear"/>
        </w:rPr>
        <w:t>®</w:t>
      </w:r>
      <w:r>
        <w:rPr>
          <w:rFonts w:ascii="Times New Roman;Times;serif" w:hAnsi="Times New Roman;Times;serif"/>
          <w:sz w:val="20"/>
          <w:shd w:fill="FFFFFF" w:val="clear"/>
        </w:rPr>
        <w:t xml:space="preserve">, molecule targeting Membrane Type 1 matrix metalloproteinase, or MT1-MMP, and carrying a lead-212, or </w:t>
      </w:r>
      <w:r>
        <w:rPr>
          <w:rFonts w:ascii="Times New Roman;Times;serif" w:hAnsi="Times New Roman;Times;serif"/>
          <w:sz w:val="15"/>
          <w:shd w:fill="FFFFFF" w:val="clear"/>
        </w:rPr>
        <w:t>212</w:t>
      </w:r>
      <w:r>
        <w:rPr>
          <w:rFonts w:ascii="Times New Roman;Times;serif" w:hAnsi="Times New Roman;Times;serif"/>
          <w:sz w:val="20"/>
          <w:shd w:fill="FFFFFF" w:val="clear"/>
        </w:rPr>
        <w:t>Pb, radioisotope payload for theranostic use. We are currently conducting Investigational New Drug application, or IND, -enabling activities for BT1702. We are also developing Bicycle Imaging Agents, or BIA molecules</w:t>
      </w:r>
      <w:r>
        <w:rPr>
          <w:rFonts w:ascii="Times New Roman;Times;serif" w:hAnsi="Times New Roman;Times;serif"/>
          <w:sz w:val="20"/>
        </w:rPr>
        <w:t xml:space="preserve">, whereby a </w:t>
      </w:r>
      <w:r>
        <w:rPr>
          <w:rFonts w:ascii="Times New Roman;Times;serif" w:hAnsi="Times New Roman;Times;serif"/>
          <w:sz w:val="20"/>
          <w:shd w:fill="FFFFFF" w:val="clear"/>
        </w:rPr>
        <w:t xml:space="preserve">Bicycle molecule is linked to a </w:t>
      </w:r>
      <w:r>
        <w:rPr>
          <w:rFonts w:ascii="Times New Roman;Times;serif" w:hAnsi="Times New Roman;Times;serif"/>
          <w:sz w:val="20"/>
        </w:rPr>
        <w:t xml:space="preserve">chelated radiopharmaceutical imaging agent. We are using BIA molecules to potentially derisk novel targets prior to further clinical development and to efficiently triage cancer indications for subsequent treatment with both BRC and/or BDC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240"/>
        <w:ind w:left="0" w:right="0" w:hanging="0"/>
        <w:jc w:val="left"/>
        <w:rPr>
          <w:rFonts w:ascii="Times New Roman;Times;serif" w:hAnsi="Times New Roman;Times;serif"/>
          <w:sz w:val="14"/>
        </w:rPr>
      </w:pPr>
      <w:r>
        <w:rPr>
          <w:rFonts w:ascii="Times New Roman;Times;serif" w:hAnsi="Times New Roman;Times;serif"/>
          <w:sz w:val="20"/>
        </w:rPr>
        <w:t>molecules.</w:t>
      </w:r>
      <w:r>
        <w:rPr>
          <w:rFonts w:ascii="Times New Roman;Times;serif" w:hAnsi="Times New Roman;Times;serif"/>
          <w:sz w:val="14"/>
          <w:shd w:fill="FFFFFF" w:val="clear"/>
        </w:rPr>
        <w:t xml:space="preserve"> </w:t>
      </w:r>
      <w:r>
        <w:rPr>
          <w:rFonts w:ascii="Times New Roman;Times;serif" w:hAnsi="Times New Roman;Times;serif"/>
          <w:sz w:val="20"/>
          <w:shd w:fill="FFFFFF" w:val="clear"/>
        </w:rPr>
        <w:t>Our discovery pipeline in oncology includes next-generation BDC molecules, BRC</w:t>
      </w:r>
      <w:r>
        <w:rPr>
          <w:rFonts w:ascii="Times New Roman;Times;serif" w:hAnsi="Times New Roman;Times;serif"/>
          <w:sz w:val="14"/>
          <w:shd w:fill="FFFFFF" w:val="clear"/>
        </w:rPr>
        <w:t> </w:t>
      </w:r>
      <w:r>
        <w:rPr>
          <w:rFonts w:ascii="Times New Roman;Times;serif" w:hAnsi="Times New Roman;Times;serif"/>
          <w:sz w:val="20"/>
          <w:shd w:fill="FFFFFF" w:val="clear"/>
        </w:rPr>
        <w:t>molecules and BIA molecules.</w:t>
      </w:r>
      <w:r>
        <w:rPr>
          <w:rFonts w:ascii="Times New Roman;Times;serif" w:hAnsi="Times New Roman;Times;serif"/>
          <w:sz w:val="14"/>
        </w:rPr>
        <w:t xml:space="preserve"> </w:t>
      </w:r>
      <w:r>
        <w:rPr>
          <w:rFonts w:ascii="Times New Roman;Times;serif" w:hAnsi="Times New Roman;Times;serif"/>
          <w:sz w:val="20"/>
        </w:rPr>
        <w:t>In April 2026</w:t>
      </w:r>
      <w:r>
        <w:rPr>
          <w:rFonts w:ascii="Times New Roman;Times;serif" w:hAnsi="Times New Roman;Times;serif"/>
          <w:sz w:val="20"/>
          <w:shd w:fill="FFFFFF" w:val="clear"/>
        </w:rPr>
        <w:t>, additional human imaging data of a BIA molecule targeting EphA2 in patients with pancreatic ductal adenocarcinoma was presented by the German Cancer Consortium, or DKTK, at the AACR Annual Meeting 2026.</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Zelenectide pevedotin, a BDC molecule targeting Nectin-4, is being evaluated </w:t>
      </w:r>
      <w:r>
        <w:rPr>
          <w:rFonts w:ascii="Times New Roman;Times;serif" w:hAnsi="Times New Roman;Times;serif"/>
          <w:sz w:val="20"/>
          <w:shd w:fill="FFFFFF" w:val="clear"/>
        </w:rPr>
        <w:t>in an ongoing Phase II clinical trial called Duravelo-2 evaluating zelenectide pevedotin in patients with untreated and previously treated metastatic urothelial cancer and in ongoing company-sponsored Phase I/II clinical trials to assess the efficacy and safety of zelenectide pevedotin in patients with NECTIN4 amplified advanced breast cancer and NECTIN4 amplified advanced or metastatic non-small cell lung cancer.</w:t>
      </w:r>
      <w:r>
        <w:rPr>
          <w:rFonts w:ascii="Times New Roman;Times;serif" w:hAnsi="Times New Roman;Times;serif"/>
          <w:sz w:val="20"/>
        </w:rPr>
        <w:t xml:space="preserve"> In March 2026, we announced the strategic reprioritization of our clinical portfolio to focus on our promising pipeline of next-generation therapeutics, including nuzefatide pevedotin as well as next-generation Bicycle conjugates, including BRC molecules. While dose selection data from the Duravelo-2 clinical trial for zelenectide pevedotin are promising, demonstrating response rates comparable to published rates for existing standards of care and a differentiated safety profile, we converted the Phase II/III Duravelo-2 registrational trial to a randomized Phase II clinical trial and have deprioritized the program for internal development while we evaluate next steps for the program following preliminary feedback from regulatory agencies. </w:t>
      </w:r>
      <w:r>
        <w:rPr>
          <w:rFonts w:ascii="Times New Roman;Times;serif" w:hAnsi="Times New Roman;Times;serif"/>
          <w:sz w:val="20"/>
          <w:shd w:fill="FFFFFF" w:val="clear"/>
        </w:rPr>
        <w:t xml:space="preserve">In May 2026, we announced initial data from the randomized company-sponsored Phase II Duravelo-2 clinical trial evaluating zelenectide pevedotin in previously untreated patients with metastatic urothelial cancer, as well as updated data from the Phase I/II clinical trial for zelenectide pevedotin in previously untreated, cisplatin-ineligible metastatic urothelial cancer patients at the 2026 American Society of Clinical Oncology Annual Meeting. </w:t>
      </w:r>
      <w:r>
        <w:rPr>
          <w:rFonts w:ascii="Times New Roman;Times;serif" w:hAnsi="Times New Roman;Times;serif"/>
          <w:sz w:val="20"/>
        </w:rPr>
        <w:t xml:space="preserve">In addition, as part of the strategic reprioritization, the Phase I/II clinical trials evaluating zelenectide pevedotin in patients with NECTIN4 amplified advanced breast cancer and NECTIN4 amplified advanced or metastatic non-small cell lung cancer are being discontinued. Further enrollment in these trials is closed and patients already enrolled will complete their course of treatment. </w:t>
      </w:r>
    </w:p>
    <w:p>
      <w:pPr>
        <w:pStyle w:val="TextBody"/>
        <w:bidi w:val="0"/>
        <w:spacing w:lineRule="auto" w:line="240" w:before="0" w:after="240"/>
        <w:ind w:left="0" w:right="0" w:firstLine="720"/>
        <w:jc w:val="left"/>
        <w:rPr>
          <w:rFonts w:ascii="Times New Roman;Times;serif" w:hAnsi="Times New Roman;Times;serif"/>
          <w:sz w:val="14"/>
        </w:rPr>
      </w:pPr>
      <w:r>
        <w:rPr>
          <w:rFonts w:ascii="Times New Roman;Times;serif" w:hAnsi="Times New Roman;Times;serif"/>
          <w:sz w:val="20"/>
          <w:shd w:fill="FFFFFF" w:val="clear"/>
        </w:rPr>
        <w:t>Our other product candidate, BT7480, is a Bicycle Tumor-Targeted Immune Cell Agonist</w:t>
      </w:r>
      <w:r>
        <w:rPr>
          <w:rFonts w:ascii="Times New Roman;Times;serif" w:hAnsi="Times New Roman;Times;serif"/>
          <w:sz w:val="15"/>
          <w:shd w:fill="FFFFFF" w:val="clear"/>
        </w:rPr>
        <w:t>®</w:t>
      </w:r>
      <w:r>
        <w:rPr>
          <w:rFonts w:ascii="Times New Roman;Times;serif" w:hAnsi="Times New Roman;Times;serif"/>
          <w:sz w:val="20"/>
          <w:shd w:fill="FFFFFF" w:val="clear"/>
        </w:rPr>
        <w:t>, or Bicycle TICA</w:t>
      </w:r>
      <w:r>
        <w:rPr>
          <w:rFonts w:ascii="Times New Roman;Times;serif" w:hAnsi="Times New Roman;Times;serif"/>
          <w:sz w:val="15"/>
          <w:shd w:fill="FFFFFF" w:val="clear"/>
        </w:rPr>
        <w:t>®</w:t>
      </w:r>
      <w:r>
        <w:rPr>
          <w:rFonts w:ascii="Times New Roman;Times;serif" w:hAnsi="Times New Roman;Times;serif"/>
          <w:sz w:val="14"/>
          <w:shd w:fill="FFFFFF" w:val="clear"/>
        </w:rPr>
        <w:t> </w:t>
      </w:r>
      <w:r>
        <w:rPr>
          <w:rFonts w:ascii="Times New Roman;Times;serif" w:hAnsi="Times New Roman;Times;serif"/>
          <w:sz w:val="20"/>
          <w:shd w:fill="FFFFFF" w:val="clear"/>
        </w:rPr>
        <w:t>molecule. A Bicycle TICA molecule links immune cell receptor binding Bicycle molecules to tumor antigen binding Bicycle molecules. BT7480, a Bicycle TICA molecule targeting Nectin-4 and agonizing CD137, is being evaluated in a company-sponsored Phase I/II clinical trial. After reporting certain data from the clinical trial in 2026, we will no longer develop BT7480 internally and intend to explore partnership opportunities for future development.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Beyond our wholly owned oncology portfolio, we are collaborating with biopharmaceutical companies and organizations in additional therapeutic areas in which we believe our proprietary Bicycle screening platform can identify therapies to treat diseases with significant unmet medical need.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2026 Strategic Reprioritization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March 2026, we announced the strategic reprioritization of our clinical portfolio to focus on our promising pipeline of next-generation therapeutics, including nuzefatide pevedotin as well as next-generation Bicycle conjugates, including BRC molecules. In connection with the strategic reprioritization, we announced a workforce reduction of approximately 30% of our workforce. Together, the workforce reduction and strategic reprioritization are expected to reduce our annual operating expenses by approximately 50% based on our current plans. We expect the workforce reduction to be substantially completed by the end of 2026, and that we will incur aggregate charges of approximately $6.5 million, representing cash expenditure for severance and other employee termination benefits, of which $1.3 million and $5.5 million was recognized during the three and six months ended June 30, 2026, respectively.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Financial Overview</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Since our inception, we have devoted substantially all of our resources to developing our Bicycle platform and our product candidates, conducting research and development of our product candidates and preclinical programs, raising capital and providing general and administrative support for our operations. </w:t>
      </w:r>
      <w:r>
        <w:rPr>
          <w:rFonts w:ascii="Times New Roman;Times;serif" w:hAnsi="Times New Roman;Times;serif"/>
          <w:sz w:val="20"/>
        </w:rPr>
        <w:t>To date, we have financed our operations primarily with proceeds from the sale of equity securities; proceeds received from upfront payments, research and development payments, and development milestone payments from our collaboration agreements; and loan borrowings.</w:t>
      </w:r>
      <w:r>
        <w:rPr>
          <w:rFonts w:ascii="Times New Roman;Times;serif" w:hAnsi="Times New Roman;Times;serif"/>
          <w:sz w:val="20"/>
          <w:shd w:fill="FFFFFF" w:val="clear"/>
        </w:rPr>
        <w:t xml:space="preserve"> From our inception through June 30, 2026, we have received gross proceeds of $1.4 billion from the sale of equity securities; and $240.2 million of cash payments under collaboration arrangements, including $46.8 million from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Bayer Consumer Care AG, or Bayer, $53.0 million from Novartis Pharma AG, or Novartis, $49.7 million from Ionis Pharmaceuticals, Inc., or Ionis, and $56.0 million from Genentech Inc., or Genentech. We do not have any products approved for sale and have not generated any revenue from product sales.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Since our inception, we have incurred significant operating losses. Our ability to generate product revenue sufficient to achieve profitability will depend on the successful development and eventual commercialization of one or more of our product candidates. Our net losses were $50.3 million and $111.2 million for the three and six months ended June 30, 2026, respectively. As of June 30, 2026, we had an accumulated deficit of $1.0 billion. These losses have resulted primarily from costs incurred in connection with research and development activities and general and administrative costs associated with our operations. We expect to continue to incur significant expenses and increasing operating losses for the foreseeable future.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expect that our expenses and capital requirements will decrease in the near term as a result of our cost saving initiatives and our strategic reprioritization announced in March 2026. However, our expenses and capital requirements may increase substantially if and as we: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our development of our product candidates, including conducting future clinical trials of nuzefatide pevedotin and BT1702;</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 to identify and develop additional product candidates, including expanding our pipeline of Bicycle radioligand molecules and next-generation BDC molecules;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 the necessary processes, controls and manufacturing data to obtain marketing approval for our product candidates and to support manufacturing to commercial scale;</w:t>
            </w:r>
          </w:p>
        </w:tc>
      </w:tr>
    </w:tbl>
    <w:tbl>
      <w:tblPr>
        <w:tblW w:w="6501" w:type="dxa"/>
        <w:jc w:val="left"/>
        <w:tblInd w:w="0" w:type="dxa"/>
        <w:tblLayout w:type="fixed"/>
        <w:tblCellMar>
          <w:top w:w="28" w:type="dxa"/>
          <w:left w:w="28" w:type="dxa"/>
          <w:bottom w:w="28" w:type="dxa"/>
          <w:right w:w="28" w:type="dxa"/>
        </w:tblCellMar>
      </w:tblPr>
      <w:tblGrid>
        <w:gridCol w:w="124"/>
        <w:gridCol w:w="256"/>
        <w:gridCol w:w="6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 maintain, expand and protect our intellectual property portfolio;</w:t>
            </w:r>
          </w:p>
        </w:tc>
      </w:tr>
    </w:tbl>
    <w:tbl>
      <w:tblPr>
        <w:tblW w:w="8691" w:type="dxa"/>
        <w:jc w:val="left"/>
        <w:tblInd w:w="0" w:type="dxa"/>
        <w:tblLayout w:type="fixed"/>
        <w:tblCellMar>
          <w:top w:w="28" w:type="dxa"/>
          <w:left w:w="28" w:type="dxa"/>
          <w:bottom w:w="28" w:type="dxa"/>
          <w:right w:w="28" w:type="dxa"/>
        </w:tblCellMar>
      </w:tblPr>
      <w:tblGrid>
        <w:gridCol w:w="124"/>
        <w:gridCol w:w="256"/>
        <w:gridCol w:w="8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 marketing approvals for our product candidates that successfully complete clinical trials, if 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hire and retain additional personnel, such as non-clinical, clinical, pharmacovigilance, quality assurance, regulatory affairs, manufacturing, distribution, legal, compliance, medical affairs, commercial and scientific personnel;</w:t>
            </w:r>
          </w:p>
        </w:tc>
      </w:tr>
    </w:tbl>
    <w:tbl>
      <w:tblPr>
        <w:tblW w:w="4896" w:type="dxa"/>
        <w:jc w:val="left"/>
        <w:tblInd w:w="0" w:type="dxa"/>
        <w:tblLayout w:type="fixed"/>
        <w:tblCellMar>
          <w:top w:w="28" w:type="dxa"/>
          <w:left w:w="28" w:type="dxa"/>
          <w:bottom w:w="28" w:type="dxa"/>
          <w:right w:w="28" w:type="dxa"/>
        </w:tblCellMar>
      </w:tblPr>
      <w:tblGrid>
        <w:gridCol w:w="124"/>
        <w:gridCol w:w="256"/>
        <w:gridCol w:w="4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 or in-license other products and technologies;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 our infrastructure and facilities to accommodate our growing employee base, including adding equipment and infrastructure to support our research and development;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operational, financial and management information systems and personnel, including personnel to support our research and development programs and any future commercialization efforts.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do not expect to generate revenue from product sales unless and until we successfully complete development and obtain marketing approval for one or more of our product candidates, which we expect will take many years and is subject to significant uncertainty. We have no commercial-scale manufacturing facilities of our own, and all of our manufacturing activities have been and are planned to be contracted out to third parties. Additionally, we currently utilize third-party contract research organizations, or CROs, to carry out our clinical development activities. If we seek to obtain marketing approval for any of our product candidates from which we obtain encouraging results in clinical development, we expect to incur significant commercialization expenses as we prepare for product sales, marketing, manufacturing, and distribution.</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a result, we will need substantial additional funding to support our continuing operations and pursue our growth strategy. Until such time as we can generate significant revenue from product sales, if ever, we expect to finance our operations through a combination of equity offerings, debt financings, collaborations, strategic alliances, charitable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and governmental grants, monetization transactions or licensing arrangements.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we may be unable to continue our operations at planned levels and be forced to reduce or terminate our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of June 30, 2026, we had cash and cash equivalents of $510.1 million. We believe that our existing cash and cash equivalents will enable us to fund our operating expenses and capital expenditure requirements for at least 12 months from the date of filing of this Quarterly Report. We have based this estimate on assumptions that may prove to be wrong, and we could deplete our available capital resources sooner than we expect. See “—Liquidity and Capital Resources” and “—Capital Resources and Funding Requirements.”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Components of Our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Collaboration 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 date, we have not generated any revenue from product sales and we do not expect to generate any revenue from product sales for the foreseeable future. Our revenue primarily consists of collaboration revenue under our arrangements with our collaboration partners, including amounts that are recognized related to upfront payments, milestone payments and option exercise payments, amounts due to us for research and development services and reimbursement of certain expenses incurred. In the future, revenue may include additional milestone payments and option exercise payments, and royalties on any net product sales under our collaborations. In the near term, we expect that revenue may decrease as a result of the terminations of our collaboration agreements with Genentech and Novartis, effective in August 2025 and February 2026, respectively. In addition, in July 2026, Bayer provided us with a notice of termination of our collaboration agreement, to be effective in September 2026 after a contractual 60-day notice period, and as such the remaining deferred revenue under the arrangement of approximately $33.2 million is expected to be recognized in the third quarter of 2026. In the future, we expect that any revenue we generate will fluctuate from period to period as a result of the timing and amount of license, research and development services, milestone and other payments, as well as the exercise or expiration of options.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Expenses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Research and Development Expenses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Research and development expenses consist primarily of costs incurred for our research and development activities, including our discovery efforts, and the development of our product candidates, which include:</w:t>
      </w:r>
    </w:p>
    <w:tbl>
      <w:tblPr>
        <w:tblW w:w="8271" w:type="dxa"/>
        <w:jc w:val="left"/>
        <w:tblInd w:w="0" w:type="dxa"/>
        <w:tblLayout w:type="fixed"/>
        <w:tblCellMar>
          <w:top w:w="28" w:type="dxa"/>
          <w:left w:w="28" w:type="dxa"/>
          <w:bottom w:w="28" w:type="dxa"/>
          <w:right w:w="28" w:type="dxa"/>
        </w:tblCellMar>
      </w:tblPr>
      <w:tblGrid>
        <w:gridCol w:w="124"/>
        <w:gridCol w:w="256"/>
        <w:gridCol w:w="78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employee-related expenses including salaries, benefits, and share-based compensation expense;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incurred under agreements with third parties that conduct research and development, preclinical activities, clinical activities and manufacturing on our behalf;</w:t>
            </w:r>
          </w:p>
        </w:tc>
      </w:tr>
    </w:tbl>
    <w:tbl>
      <w:tblPr>
        <w:tblW w:w="2406" w:type="dxa"/>
        <w:jc w:val="left"/>
        <w:tblInd w:w="0" w:type="dxa"/>
        <w:tblLayout w:type="fixed"/>
        <w:tblCellMar>
          <w:top w:w="28" w:type="dxa"/>
          <w:left w:w="28" w:type="dxa"/>
          <w:bottom w:w="28" w:type="dxa"/>
          <w:right w:w="28" w:type="dxa"/>
        </w:tblCellMar>
      </w:tblPr>
      <w:tblGrid>
        <w:gridCol w:w="124"/>
        <w:gridCol w:w="256"/>
        <w:gridCol w:w="20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consultants;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lab supplies and acquiring, developing and manufacturing preclinical study materials and clinical trial materials;</w:t>
            </w:r>
          </w:p>
        </w:tc>
      </w:tr>
    </w:tbl>
    <w:tbl>
      <w:tblPr>
        <w:tblW w:w="5526" w:type="dxa"/>
        <w:jc w:val="left"/>
        <w:tblInd w:w="0" w:type="dxa"/>
        <w:tblLayout w:type="fixed"/>
        <w:tblCellMar>
          <w:top w:w="28" w:type="dxa"/>
          <w:left w:w="28" w:type="dxa"/>
          <w:bottom w:w="28" w:type="dxa"/>
          <w:right w:w="28" w:type="dxa"/>
        </w:tblCellMar>
      </w:tblPr>
      <w:tblGrid>
        <w:gridCol w:w="124"/>
        <w:gridCol w:w="256"/>
        <w:gridCol w:w="5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related to compliance with regulatory requirements;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facilities, depreciation, and other expenses, which include direct and allocated expenses for rent and maintenance of facilities, and other operating costs.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Research and development costs are expensed as incurred. Costs for certain activities are recognized based on an evaluation of the progress to completion of specific tasks. Payments for these activities are based on the terms of the individual agreements, which may differ from the pattern of costs incurred, and are reflected in our condensed consolidated financial statements as a prepaid expense or accrued research and development expenses. Non-refundable advance payments for goods or services to be received in the future for use in research and development activities are capitalized. The capitalized amounts are expensed as the related goods are delivered or the services are performed.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direct external research and development expenses are tracked on a program-by-program basis and consist of costs, such as fees paid to consultants, CROs, contractors and contract manufacturing organizations, or CMOs, in connection with our preclinical and clinical development activities. Costs incurred after a product candidate has been designated and that are directly related to the product candidate are included in direct research and development expenses for that program. Costs incurred prior to designating a product candidate are included in discovery, platform and other expenses. We do not allocate employee costs, costs associated with our discovery efforts, laboratory supplies, and facilities, including depreciation or other indirect costs, to specific product development programs because these costs are deployed across multiple product development programs and, as such, are not separately classified.</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Through our subsidiaries in the U.K., we receive reimbursements of certain research and development expenditures as part of a U.K. government research and development tax reliefs program. The Finance Act 2024, which was enacted in February 2024, replaced the legacy research and development expenditure credit and the Small and Medium-sized Enterprise, or SME, R&amp;D Tax Relief program with a merged research and development expenditure credit scheme, or RDEC, and an enhanced research and development intensive support scheme, or ERIS. The Finance Act 2024 provides for a cash rebate that may be claimed for 26.97% of qualifying expenditure if we qualify as R&amp;D intensive for an accounting period. We qualified as R&amp;D intensive for the year ended December 31, 2025, and we expect to qualify as R&amp;D intensive for the year ended December 31, 2026. </w:t>
      </w:r>
    </w:p>
    <w:p>
      <w:pPr>
        <w:pStyle w:val="TextBody"/>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U.K. research and development tax credit is fully refundable to us after surrendering tax losses and is not dependent on current or future taxable income. As a result, we have recorded the entire benefit from the U.K. research and development tax credit as a reduction to research and development expenses and is not reflected as part of the income tax provision. See Note 2 “</w:t>
      </w:r>
      <w:r>
        <w:rPr>
          <w:rFonts w:ascii="Times New Roman;Times;serif" w:hAnsi="Times New Roman;Times;serif"/>
          <w:i/>
          <w:sz w:val="20"/>
        </w:rPr>
        <w:t>Summary of significant accounting policies – Research and development incentives and receivable”</w:t>
      </w:r>
      <w:r>
        <w:rPr>
          <w:rFonts w:ascii="Times New Roman;Times;serif" w:hAnsi="Times New Roman;Times;serif"/>
          <w:sz w:val="20"/>
        </w:rPr>
        <w:t xml:space="preserve"> included in this Quarterly Report for additional information on the U.K. research and development tax relief program.</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decrease in the near term as a result of our cost saving initiatives and our strategic reprioritization announced in March 2026. However, our research and development expenses will increase over the longer term if and as we continue clinical development of and seek to obtain marketing approval for our product candidates, initiate clinical trials for our product candidates and continue to discover and develop additional product candidates.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successful development of our product candidates is highly uncertain and subject to numerous risks and uncertainties. A change in the outcome of any of these variables with respect to the development of a product candidate could mean a significant change in the costs and timing associated with the development of that product candidate. As such, at this time, we cannot reasonably estimate or know the nature, timing and estimated costs of the efforts that will be necessary to complete the remainder of the development of our product candidates. We are also unable to predict when, if ever, material net cash inflows will commence from our product candidates.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General and administrative expenses consist primarily of salaries and other related costs, including share-based compensation, for personnel in our executive, finance, corporate and business development, commercial and administrative functions. General and administrative expenses also include professional fees for legal, patent,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accounting, auditing, tax and consulting services, insurance, travel expenses and facility-related expenses, which include direct depreciation costs and allocated expenses for rent and maintenance of facilities and other operating costs.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Foreign currency transactions in currencies different from the applicable functional currency are translated into the functional currency using the exchange rates prevailing at the dates of the transactions. Foreign exchange differences resulting from the settlement of such transactions and from the remeasurement at period-end exchange rates in foreign currencies are recorded in general and administrative expenses in the condensed consolidated statements of operations and comprehensive loss. As such, our operating expenses may be impacted by future changes in exchange rates. See “Quantitative and Qualitative Disclosure About Market Risks” for further discussion.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expect that our general and administrative expenses will decrease in the near term as a result of our cost saving initiatives and our strategic reprioritization announced in March 2026. However, we expect that our general and administrative expenses may increase in the future if and as we increase our general and administrative headcount to support our continued research and development and potential commercialization of our portfolio of product candidates. We also expect to continue to incur increased expenses associated with being a public company including costs of accounting, audit, information systems, legal, intellectual property, regulatory and tax compliance services, director and officer insurance and investor and public relations.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Income (Expense)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Interest and Other Income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Interest and other income consists primarily of interest earned on our cash held in operating accounts and our cash equivalents.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Interest Expense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Interest expense consists primarily of interest expense for financing arrangements.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Provision for (Benefit from) Income Taxes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are subject to corporate taxation in the United States and the U.K. We have generated losses since inception and have therefore not paid U.K. corporation tax. The provision for (benefit from) income taxes included in the condensed consolidated statements of operations and comprehensive loss represents the tax impact from operating activities in the United States, which has generated taxable income based on intercompany service arrangements.</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After consideration of our history of cumulative net losses in the U.K., we have concluded that it is more likely than not that we will not realize the benefits of our U.K. deferred tax assets and accordingly we have provided a valuation allowance for the full amount of the net deferred tax assets in the U.K. We intend to continue to maintain a full valuation allowance on our U.K. deferred tax assets until there is sufficient evidence to support the reversal of all or some portion of these allowances. The release of the valuation allowance would result in the recognition of certain deferred tax assets and an increase to the benefit from income taxes for the period the release is recorded. However, the exact timing and amount of the valuation allowance release are subject to change on the basis of the level of profitability that we are able to actually achieve.</w:t>
      </w:r>
    </w:p>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Unsurrendered U.K. losses may be carried forward indefinitely to be offset against future taxable profits, subject to numerous utilization criteria and restrictions. The amount that can be offset each year is limited to £5.0 million plus an incremental 50% of U.K. taxable profits.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Comparison of the Three Months Ended June 30, 2026 and 2025</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our results of operations for the periods presented:</w:t>
      </w:r>
    </w:p>
    <w:tbl>
      <w:tblPr>
        <w:tblW w:w="7540" w:type="dxa"/>
        <w:jc w:val="left"/>
        <w:tblInd w:w="0" w:type="dxa"/>
        <w:tblLayout w:type="fixed"/>
        <w:tblCellMar>
          <w:top w:w="0" w:type="dxa"/>
          <w:left w:w="0" w:type="dxa"/>
          <w:bottom w:w="0" w:type="dxa"/>
          <w:right w:w="0" w:type="dxa"/>
        </w:tblCellMar>
      </w:tblPr>
      <w:tblGrid>
        <w:gridCol w:w="3436"/>
        <w:gridCol w:w="346"/>
        <w:gridCol w:w="211"/>
        <w:gridCol w:w="796"/>
        <w:gridCol w:w="346"/>
        <w:gridCol w:w="211"/>
        <w:gridCol w:w="796"/>
        <w:gridCol w:w="346"/>
        <w:gridCol w:w="211"/>
        <w:gridCol w:w="841"/>
      </w:tblGrid>
      <w:tr>
        <w:trPr/>
        <w:tc>
          <w:tcPr>
            <w:tcW w:w="3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181860" cy="175260"/>
                      <wp:effectExtent l="0" t="0" r="0" b="0"/>
                      <wp:wrapNone/>
                      <wp:docPr id="227" name="Frame227"/>
                      <a:graphic xmlns:a="http://schemas.openxmlformats.org/drawingml/2006/main">
                        <a:graphicData uri="http://schemas.microsoft.com/office/word/2010/wordprocessingShape">
                          <wps:wsp>
                            <wps:cNvSpPr txBox="1"/>
                            <wps:spPr>
                              <a:xfrm>
                                <a:off x="0" y="0"/>
                                <a:ext cx="2181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19710" cy="175260"/>
                      <wp:effectExtent l="0" t="0" r="0" b="0"/>
                      <wp:wrapNone/>
                      <wp:docPr id="228" name="Frame2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33985" cy="175260"/>
                      <wp:effectExtent l="0" t="0" r="0" b="0"/>
                      <wp:wrapNone/>
                      <wp:docPr id="229" name="Frame2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505460" cy="175260"/>
                      <wp:effectExtent l="0" t="0" r="0" b="0"/>
                      <wp:wrapNone/>
                      <wp:docPr id="230" name="Frame23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19710" cy="175260"/>
                      <wp:effectExtent l="0" t="0" r="0" b="0"/>
                      <wp:wrapNone/>
                      <wp:docPr id="231" name="Frame2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33985" cy="175260"/>
                      <wp:effectExtent l="0" t="0" r="0" b="0"/>
                      <wp:wrapNone/>
                      <wp:docPr id="232" name="Frame2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505460" cy="175260"/>
                      <wp:effectExtent l="0" t="0" r="0" b="0"/>
                      <wp:wrapNone/>
                      <wp:docPr id="233" name="Frame23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19710" cy="175260"/>
                      <wp:effectExtent l="0" t="0" r="0" b="0"/>
                      <wp:wrapNone/>
                      <wp:docPr id="234" name="Frame2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33985" cy="175260"/>
                      <wp:effectExtent l="0" t="0" r="0" b="0"/>
                      <wp:wrapNone/>
                      <wp:docPr id="235" name="Frame2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534035" cy="175260"/>
                      <wp:effectExtent l="0" t="0" r="0" b="0"/>
                      <wp:wrapNone/>
                      <wp:docPr id="236" name="Frame236"/>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6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pPr>
            <w:r>
              <w:rPr/>
              <w:t>​</w:t>
            </w:r>
          </w:p>
        </w:tc>
      </w:tr>
      <w:tr>
        <w:trPr/>
        <w:tc>
          <w:tcPr>
            <w:tcW w:w="34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6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pPr>
            <w:r>
              <w:rPr/>
              <w:t>​</w:t>
            </w:r>
          </w:p>
        </w:tc>
      </w:tr>
      <w:tr>
        <w:trPr/>
        <w:tc>
          <w:tcPr>
            <w:tcW w:w="34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7540"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34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758"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4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Collaboration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(2,291)</w:t>
            </w:r>
          </w:p>
        </w:tc>
      </w:tr>
      <w:tr>
        <w:trPr/>
        <w:tc>
          <w:tcPr>
            <w:tcW w:w="34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  ​</w:t>
            </w:r>
          </w:p>
        </w:tc>
      </w:tr>
      <w:tr>
        <w:trPr/>
        <w:tc>
          <w:tcPr>
            <w:tcW w:w="34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41,160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71,029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(29,869)</w:t>
            </w:r>
          </w:p>
        </w:tc>
      </w:tr>
      <w:tr>
        <w:trPr/>
        <w:tc>
          <w:tcPr>
            <w:tcW w:w="34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14,028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18,493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(4,465)</w:t>
            </w:r>
          </w:p>
        </w:tc>
      </w:tr>
      <w:tr>
        <w:trPr/>
        <w:tc>
          <w:tcPr>
            <w:tcW w:w="34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55,188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89,522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(34,334)</w:t>
            </w:r>
          </w:p>
        </w:tc>
      </w:tr>
      <w:tr>
        <w:trPr/>
        <w:tc>
          <w:tcPr>
            <w:tcW w:w="34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(54,559)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(86,602)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32,043</w:t>
            </w:r>
          </w:p>
        </w:tc>
      </w:tr>
      <w:tr>
        <w:trPr/>
        <w:tc>
          <w:tcPr>
            <w:tcW w:w="34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  ​</w:t>
            </w:r>
          </w:p>
        </w:tc>
      </w:tr>
      <w:tr>
        <w:trPr/>
        <w:tc>
          <w:tcPr>
            <w:tcW w:w="34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and other income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4,360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7,473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(3,113)</w:t>
            </w:r>
          </w:p>
        </w:tc>
      </w:tr>
      <w:tr>
        <w:trPr/>
        <w:tc>
          <w:tcPr>
            <w:tcW w:w="34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34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income, net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4,316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7,419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(3,103)</w:t>
            </w:r>
          </w:p>
        </w:tc>
      </w:tr>
      <w:tr>
        <w:trPr/>
        <w:tc>
          <w:tcPr>
            <w:tcW w:w="34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before income tax provision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(50,243)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(79,183)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28,940</w:t>
            </w:r>
          </w:p>
        </w:tc>
      </w:tr>
      <w:tr>
        <w:trPr/>
        <w:tc>
          <w:tcPr>
            <w:tcW w:w="34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(benefit from) income taxes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321</w:t>
            </w:r>
          </w:p>
        </w:tc>
      </w:tr>
      <w:tr>
        <w:trPr/>
        <w:tc>
          <w:tcPr>
            <w:tcW w:w="34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(50,333)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(78,952)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28,619</w:t>
            </w:r>
          </w:p>
        </w:tc>
      </w:tr>
    </w:tbl>
    <w:p>
      <w:pPr>
        <w:pStyle w:val="TextBody"/>
        <w:bidi w:val="0"/>
        <w:spacing w:before="240" w:after="240"/>
        <w:ind w:left="0" w:right="0" w:hanging="0"/>
        <w:jc w:val="left"/>
        <w:rPr>
          <w:rFonts w:ascii="Times New Roman;Times;serif" w:hAnsi="Times New Roman;Times;serif"/>
          <w:i/>
          <w:sz w:val="20"/>
        </w:rPr>
      </w:pPr>
      <w:r>
        <w:rPr>
          <w:rFonts w:ascii="Times New Roman;Times;serif" w:hAnsi="Times New Roman;Times;serif"/>
          <w:i/>
          <w:sz w:val="20"/>
        </w:rPr>
        <w:t>Collaboration 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Collaboration revenue decreased by $2.3 million in the three months ended June 30, 2026, compared to the three months ended June 30, 2025, primarily due to a decrease of $1.5 million from our collaboration with Novartis, which was terminated effective February 2026.</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Research and Development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table below summarizes our research and development expenses for the periods presented:</w:t>
      </w:r>
    </w:p>
    <w:tbl>
      <w:tblPr>
        <w:tblW w:w="9154" w:type="dxa"/>
        <w:jc w:val="left"/>
        <w:tblInd w:w="0" w:type="dxa"/>
        <w:tblLayout w:type="fixed"/>
        <w:tblCellMar>
          <w:top w:w="0" w:type="dxa"/>
          <w:left w:w="0" w:type="dxa"/>
          <w:bottom w:w="0" w:type="dxa"/>
          <w:right w:w="0" w:type="dxa"/>
        </w:tblCellMar>
      </w:tblPr>
      <w:tblGrid>
        <w:gridCol w:w="5101"/>
        <w:gridCol w:w="346"/>
        <w:gridCol w:w="216"/>
        <w:gridCol w:w="708"/>
        <w:gridCol w:w="354"/>
        <w:gridCol w:w="216"/>
        <w:gridCol w:w="815"/>
        <w:gridCol w:w="346"/>
        <w:gridCol w:w="211"/>
        <w:gridCol w:w="841"/>
      </w:tblGrid>
      <w:tr>
        <w:trPr/>
        <w:tc>
          <w:tcPr>
            <w:tcW w:w="51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19710" cy="175260"/>
                      <wp:effectExtent l="0" t="0" r="0" b="0"/>
                      <wp:wrapNone/>
                      <wp:docPr id="237" name="Frame2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37160" cy="175260"/>
                      <wp:effectExtent l="0" t="0" r="0" b="0"/>
                      <wp:wrapNone/>
                      <wp:docPr id="238" name="Frame238"/>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449580" cy="175260"/>
                      <wp:effectExtent l="0" t="0" r="0" b="0"/>
                      <wp:wrapNone/>
                      <wp:docPr id="239" name="Frame239"/>
                      <a:graphic xmlns:a="http://schemas.openxmlformats.org/drawingml/2006/main">
                        <a:graphicData uri="http://schemas.microsoft.com/office/word/2010/wordprocessingShape">
                          <wps:wsp>
                            <wps:cNvSpPr txBox="1"/>
                            <wps:spPr>
                              <a:xfrm>
                                <a:off x="0" y="0"/>
                                <a:ext cx="4495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24790" cy="175260"/>
                      <wp:effectExtent l="0" t="0" r="0" b="0"/>
                      <wp:wrapNone/>
                      <wp:docPr id="240" name="Frame240"/>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37160" cy="175260"/>
                      <wp:effectExtent l="0" t="0" r="0" b="0"/>
                      <wp:wrapNone/>
                      <wp:docPr id="241" name="Frame241"/>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517525" cy="175260"/>
                      <wp:effectExtent l="0" t="0" r="0" b="0"/>
                      <wp:wrapNone/>
                      <wp:docPr id="242" name="Frame242"/>
                      <a:graphic xmlns:a="http://schemas.openxmlformats.org/drawingml/2006/main">
                        <a:graphicData uri="http://schemas.microsoft.com/office/word/2010/wordprocessingShape">
                          <wps:wsp>
                            <wps:cNvSpPr txBox="1"/>
                            <wps:spPr>
                              <a:xfrm>
                                <a:off x="0" y="0"/>
                                <a:ext cx="517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19710" cy="175260"/>
                      <wp:effectExtent l="0" t="0" r="0" b="0"/>
                      <wp:wrapNone/>
                      <wp:docPr id="243" name="Frame2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33985" cy="175260"/>
                      <wp:effectExtent l="0" t="0" r="0" b="0"/>
                      <wp:wrapNone/>
                      <wp:docPr id="244" name="Frame2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534035" cy="175260"/>
                      <wp:effectExtent l="0" t="0" r="0" b="0"/>
                      <wp:wrapNone/>
                      <wp:docPr id="245" name="Frame245"/>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1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0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pPr>
            <w:r>
              <w:rPr/>
              <w:t>​</w:t>
            </w:r>
          </w:p>
        </w:tc>
      </w:tr>
      <w:tr>
        <w:trPr/>
        <w:tc>
          <w:tcPr>
            <w:tcW w:w="51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2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54" w:type="dxa"/>
            <w:tcBorders/>
            <w:vAlign w:val="center"/>
          </w:tcPr>
          <w:p>
            <w:pPr>
              <w:pStyle w:val="TableContents"/>
              <w:bidi w:val="0"/>
              <w:spacing w:before="0" w:after="1"/>
              <w:ind w:left="0" w:right="0" w:hanging="0"/>
              <w:jc w:val="left"/>
              <w:rPr/>
            </w:pPr>
            <w:r>
              <w:rPr/>
              <w:t>  ​ ​ ​</w:t>
            </w:r>
          </w:p>
        </w:tc>
        <w:tc>
          <w:tcPr>
            <w:tcW w:w="10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9154"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51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707"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51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Zelenectide pevedotin (Nectin</w:t>
              <w:noBreakHyphen/>
              <w:t>4 BDC)</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19,565</w:t>
            </w:r>
          </w:p>
        </w:tc>
        <w:tc>
          <w:tcPr>
            <w:tcW w:w="354"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44,396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(24,831)</w:t>
            </w:r>
          </w:p>
        </w:tc>
      </w:tr>
      <w:tr>
        <w:trPr/>
        <w:tc>
          <w:tcPr>
            <w:tcW w:w="51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Nuzefatide pevedotin (EphA2 BDC)</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7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2,165</w:t>
            </w:r>
          </w:p>
        </w:tc>
        <w:tc>
          <w:tcPr>
            <w:tcW w:w="354"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81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w:t>
            </w:r>
          </w:p>
        </w:tc>
      </w:tr>
      <w:tr>
        <w:trPr/>
        <w:tc>
          <w:tcPr>
            <w:tcW w:w="51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BT1702 (MT1-MMP BRC)</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7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w:t>
            </w:r>
          </w:p>
        </w:tc>
        <w:tc>
          <w:tcPr>
            <w:tcW w:w="354"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81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w:t>
            </w:r>
          </w:p>
        </w:tc>
      </w:tr>
      <w:tr>
        <w:trPr/>
        <w:tc>
          <w:tcPr>
            <w:tcW w:w="51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Bicycle tumor-targeted immune cell agonists</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7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w:t>
            </w:r>
          </w:p>
        </w:tc>
        <w:tc>
          <w:tcPr>
            <w:tcW w:w="354"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81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371</w:t>
            </w:r>
          </w:p>
        </w:tc>
      </w:tr>
      <w:tr>
        <w:trPr/>
        <w:tc>
          <w:tcPr>
            <w:tcW w:w="51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Discovery, platform and other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7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8,953</w:t>
            </w:r>
          </w:p>
        </w:tc>
        <w:tc>
          <w:tcPr>
            <w:tcW w:w="354"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81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12,496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(3,543)</w:t>
            </w:r>
          </w:p>
        </w:tc>
      </w:tr>
      <w:tr>
        <w:trPr/>
        <w:tc>
          <w:tcPr>
            <w:tcW w:w="51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Employee and contractor related expenses</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7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12,355</w:t>
            </w:r>
          </w:p>
        </w:tc>
        <w:tc>
          <w:tcPr>
            <w:tcW w:w="354"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81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17,958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(5,603)</w:t>
            </w:r>
          </w:p>
        </w:tc>
      </w:tr>
      <w:tr>
        <w:trPr/>
        <w:tc>
          <w:tcPr>
            <w:tcW w:w="51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Share-based compensation </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7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2,624</w:t>
            </w:r>
          </w:p>
        </w:tc>
        <w:tc>
          <w:tcPr>
            <w:tcW w:w="354"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81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4,153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(1,529)</w:t>
            </w:r>
          </w:p>
        </w:tc>
      </w:tr>
      <w:tr>
        <w:trPr/>
        <w:tc>
          <w:tcPr>
            <w:tcW w:w="51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Facility expenses</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7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1,317</w:t>
            </w:r>
          </w:p>
        </w:tc>
        <w:tc>
          <w:tcPr>
            <w:tcW w:w="354"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81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(427)</w:t>
            </w:r>
          </w:p>
        </w:tc>
      </w:tr>
      <w:tr>
        <w:trPr/>
        <w:tc>
          <w:tcPr>
            <w:tcW w:w="51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incentives and government grants</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(6,513)</w:t>
            </w:r>
          </w:p>
        </w:tc>
        <w:tc>
          <w:tcPr>
            <w:tcW w:w="354" w:type="dxa"/>
            <w:tcBorders/>
            <w:shd w:fill="CCEEFF" w:val="clear"/>
            <w:vAlign w:val="center"/>
          </w:tcPr>
          <w:p>
            <w:pPr>
              <w:pStyle w:val="TableContents"/>
              <w:bidi w:val="0"/>
              <w:spacing w:before="0" w:after="1"/>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(11,531)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5,018</w:t>
            </w:r>
          </w:p>
        </w:tc>
      </w:tr>
      <w:tr>
        <w:trPr/>
        <w:tc>
          <w:tcPr>
            <w:tcW w:w="51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research and development expenses</w:t>
            </w:r>
          </w:p>
        </w:tc>
        <w:tc>
          <w:tcPr>
            <w:tcW w:w="346" w:type="dxa"/>
            <w:tcBorders/>
            <w:vAlign w:val="center"/>
          </w:tcPr>
          <w:p>
            <w:pPr>
              <w:pStyle w:val="TableContents"/>
              <w:bidi w:val="0"/>
              <w:spacing w:before="0" w:after="1"/>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41,160</w:t>
            </w:r>
          </w:p>
        </w:tc>
        <w:tc>
          <w:tcPr>
            <w:tcW w:w="354" w:type="dxa"/>
            <w:tcBorders/>
            <w:vAlign w:val="center"/>
          </w:tcPr>
          <w:p>
            <w:pPr>
              <w:pStyle w:val="TableContents"/>
              <w:bidi w:val="0"/>
              <w:spacing w:before="0" w:after="1"/>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71,029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(29,869)</w:t>
            </w:r>
          </w:p>
        </w:tc>
      </w:tr>
    </w:tbl>
    <w:p>
      <w:pPr>
        <w:pStyle w:val="TextBody"/>
        <w:bidi w:val="0"/>
        <w:spacing w:before="240" w:after="0"/>
        <w:ind w:left="0" w:right="0" w:firstLine="720"/>
        <w:jc w:val="left"/>
        <w:rPr>
          <w:rFonts w:ascii="Times New Roman;Times;serif" w:hAnsi="Times New Roman;Times;serif"/>
          <w:sz w:val="20"/>
        </w:rPr>
      </w:pPr>
      <w:r>
        <w:rPr>
          <w:rFonts w:ascii="Times New Roman;Times;serif" w:hAnsi="Times New Roman;Times;serif"/>
          <w:sz w:val="20"/>
        </w:rPr>
        <w:t xml:space="preserve">Research and development expenses decreased by $29.9 million in the three months ended June 30, 2026 compared to the three months ended June 30, 2025, primarily due to decreases of $24.8 million in clinical program expenses for zelenectide pevedotin as the dose selection portion of the Duravelo-2 clinical trial was fully enrolled throughout the three months ended June 30, 2026, resulting in decreased expense period over period, $5.6 million and $1.5 million in employee and contractor related expenses and share-based compensation, respectively, primarily due to decreased headcount period over period resulting from our workforce reductions announced in August 2025 and March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2026, and $3.5 million in discovery, platform and other expense due to the timing of preclinical activities for our pipeline programs. These decreases were offset by $5.0 million of lower research and development incentives associated with the corresponding reduction in qualifying research and development expenses period over period. In addition, for the three months ended June 30, 2026, we recognized $0.9 million of employee and contractor related expenses for severance and other employee termination benefits associated with our workforce reduction announced in March 2026.</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We begin to separately track program expenses at candidate nomination, at which point we accumulate all direct external program costs to support that program to date. Through June 30, 2026, we have incurred approximately $324.1 million and $61.9 million of direct external expenses for the development of zelenectide pevedotin and nuzefatide pevedotin, respectively, since their candidate nominations, an aggregate of $0.6 million for the development of BT1702 since its candidate nomination, and an aggregate of $52.2 million of direct external expenses for the development of our two named Bicycle TICA molecule candidates since their nominations.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table below summarizes our general and administrative expenses for the periods presented:</w:t>
      </w:r>
    </w:p>
    <w:tbl>
      <w:tblPr>
        <w:tblW w:w="7252" w:type="dxa"/>
        <w:jc w:val="left"/>
        <w:tblInd w:w="0" w:type="dxa"/>
        <w:tblLayout w:type="fixed"/>
        <w:tblCellMar>
          <w:top w:w="0" w:type="dxa"/>
          <w:left w:w="0" w:type="dxa"/>
          <w:bottom w:w="0" w:type="dxa"/>
          <w:right w:w="0" w:type="dxa"/>
        </w:tblCellMar>
      </w:tblPr>
      <w:tblGrid>
        <w:gridCol w:w="3541"/>
        <w:gridCol w:w="109"/>
        <w:gridCol w:w="230"/>
        <w:gridCol w:w="736"/>
        <w:gridCol w:w="377"/>
        <w:gridCol w:w="230"/>
        <w:gridCol w:w="736"/>
        <w:gridCol w:w="346"/>
        <w:gridCol w:w="211"/>
        <w:gridCol w:w="736"/>
      </w:tblGrid>
      <w:tr>
        <w:trPr/>
        <w:tc>
          <w:tcPr>
            <w:tcW w:w="35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9215" cy="175260"/>
                      <wp:effectExtent l="0" t="0" r="0" b="0"/>
                      <wp:wrapNone/>
                      <wp:docPr id="246" name="Frame2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46050" cy="175260"/>
                      <wp:effectExtent l="0" t="0" r="0" b="0"/>
                      <wp:wrapNone/>
                      <wp:docPr id="247" name="Frame247"/>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467360" cy="175260"/>
                      <wp:effectExtent l="0" t="0" r="0" b="0"/>
                      <wp:wrapNone/>
                      <wp:docPr id="248" name="Frame248"/>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39395" cy="175260"/>
                      <wp:effectExtent l="0" t="0" r="0" b="0"/>
                      <wp:wrapNone/>
                      <wp:docPr id="249" name="Frame249"/>
                      <a:graphic xmlns:a="http://schemas.openxmlformats.org/drawingml/2006/main">
                        <a:graphicData uri="http://schemas.microsoft.com/office/word/2010/wordprocessingShape">
                          <wps:wsp>
                            <wps:cNvSpPr txBox="1"/>
                            <wps:spPr>
                              <a:xfrm>
                                <a:off x="0" y="0"/>
                                <a:ext cx="2393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46050" cy="175260"/>
                      <wp:effectExtent l="0" t="0" r="0" b="0"/>
                      <wp:wrapNone/>
                      <wp:docPr id="250" name="Frame250"/>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467360" cy="175260"/>
                      <wp:effectExtent l="0" t="0" r="0" b="0"/>
                      <wp:wrapNone/>
                      <wp:docPr id="251" name="Frame251"/>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19710" cy="175260"/>
                      <wp:effectExtent l="0" t="0" r="0" b="0"/>
                      <wp:wrapNone/>
                      <wp:docPr id="252" name="Frame2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33985" cy="175260"/>
                      <wp:effectExtent l="0" t="0" r="0" b="0"/>
                      <wp:wrapNone/>
                      <wp:docPr id="253" name="Frame2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467360" cy="175260"/>
                      <wp:effectExtent l="0" t="0" r="0" b="0"/>
                      <wp:wrapNone/>
                      <wp:docPr id="254" name="Frame254"/>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0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pPr>
            <w:r>
              <w:rPr/>
              <w:t>​</w:t>
            </w:r>
          </w:p>
        </w:tc>
      </w:tr>
      <w:tr>
        <w:trPr/>
        <w:tc>
          <w:tcPr>
            <w:tcW w:w="35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77" w:type="dxa"/>
            <w:tcBorders/>
            <w:vAlign w:val="center"/>
          </w:tcPr>
          <w:p>
            <w:pPr>
              <w:pStyle w:val="TableContents"/>
              <w:bidi w:val="0"/>
              <w:spacing w:before="0" w:after="1"/>
              <w:ind w:left="0" w:right="0" w:hanging="0"/>
              <w:jc w:val="left"/>
              <w:rPr/>
            </w:pPr>
            <w:r>
              <w:rPr/>
              <w:t>  ​ ​ ​</w:t>
            </w:r>
          </w:p>
        </w:tc>
        <w:tc>
          <w:tcPr>
            <w:tcW w:w="9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7252"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35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602"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Personnel-related costs</w:t>
            </w:r>
          </w:p>
        </w:tc>
        <w:tc>
          <w:tcPr>
            <w:tcW w:w="109"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5,610</w:t>
            </w:r>
          </w:p>
        </w:tc>
        <w:tc>
          <w:tcPr>
            <w:tcW w:w="377"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7,056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(1,446)</w:t>
            </w:r>
          </w:p>
        </w:tc>
      </w:tr>
      <w:tr>
        <w:trPr/>
        <w:tc>
          <w:tcPr>
            <w:tcW w:w="35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Professional and consulting fees</w:t>
            </w:r>
          </w:p>
        </w:tc>
        <w:tc>
          <w:tcPr>
            <w:tcW w:w="109" w:type="dxa"/>
            <w:tcBorders/>
            <w:vAlign w:val="center"/>
          </w:tcPr>
          <w:p>
            <w:pPr>
              <w:pStyle w:val="TableContents"/>
              <w:bidi w:val="0"/>
              <w:spacing w:before="0" w:after="1"/>
              <w:ind w:left="0" w:right="0" w:hanging="0"/>
              <w:jc w:val="left"/>
              <w:rPr>
                <w:color w:val="FF0000"/>
              </w:rPr>
            </w:pPr>
            <w:r>
              <w:rPr>
                <w:color w:val="FF0000"/>
              </w:rPr>
              <w:t>​</w:t>
            </w:r>
          </w:p>
        </w:tc>
        <w:tc>
          <w:tcPr>
            <w:tcW w:w="230"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2,734</w:t>
            </w:r>
          </w:p>
        </w:tc>
        <w:tc>
          <w:tcPr>
            <w:tcW w:w="377"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4,573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(1,839)</w:t>
            </w:r>
          </w:p>
        </w:tc>
      </w:tr>
      <w:tr>
        <w:trPr/>
        <w:tc>
          <w:tcPr>
            <w:tcW w:w="3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general and administration costs</w:t>
            </w:r>
          </w:p>
        </w:tc>
        <w:tc>
          <w:tcPr>
            <w:tcW w:w="109"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1,973</w:t>
            </w:r>
          </w:p>
        </w:tc>
        <w:tc>
          <w:tcPr>
            <w:tcW w:w="377"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(354)</w:t>
            </w:r>
          </w:p>
        </w:tc>
      </w:tr>
      <w:tr>
        <w:trPr/>
        <w:tc>
          <w:tcPr>
            <w:tcW w:w="35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Share-based compensation </w:t>
            </w:r>
          </w:p>
        </w:tc>
        <w:tc>
          <w:tcPr>
            <w:tcW w:w="109" w:type="dxa"/>
            <w:tcBorders/>
            <w:vAlign w:val="center"/>
          </w:tcPr>
          <w:p>
            <w:pPr>
              <w:pStyle w:val="TableContents"/>
              <w:bidi w:val="0"/>
              <w:spacing w:before="0" w:after="1"/>
              <w:ind w:left="0" w:right="0" w:hanging="0"/>
              <w:jc w:val="left"/>
              <w:rPr>
                <w:color w:val="FF0000"/>
              </w:rPr>
            </w:pPr>
            <w:r>
              <w:rPr>
                <w:color w:val="FF0000"/>
              </w:rPr>
              <w:t>​</w:t>
            </w:r>
          </w:p>
        </w:tc>
        <w:tc>
          <w:tcPr>
            <w:tcW w:w="230"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3,780</w:t>
            </w:r>
          </w:p>
        </w:tc>
        <w:tc>
          <w:tcPr>
            <w:tcW w:w="377"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5,282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(1,502)</w:t>
            </w:r>
          </w:p>
        </w:tc>
      </w:tr>
      <w:tr>
        <w:trPr/>
        <w:tc>
          <w:tcPr>
            <w:tcW w:w="3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Effect of foreign exchange rates</w:t>
            </w:r>
          </w:p>
        </w:tc>
        <w:tc>
          <w:tcPr>
            <w:tcW w:w="109"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w:t>
            </w:r>
          </w:p>
        </w:tc>
        <w:tc>
          <w:tcPr>
            <w:tcW w:w="377"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676</w:t>
            </w:r>
          </w:p>
        </w:tc>
      </w:tr>
      <w:tr>
        <w:trPr/>
        <w:tc>
          <w:tcPr>
            <w:tcW w:w="35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general and administrative expenses</w:t>
            </w:r>
          </w:p>
        </w:tc>
        <w:tc>
          <w:tcPr>
            <w:tcW w:w="109" w:type="dxa"/>
            <w:tcBorders/>
            <w:vAlign w:val="center"/>
          </w:tcPr>
          <w:p>
            <w:pPr>
              <w:pStyle w:val="TableContents"/>
              <w:bidi w:val="0"/>
              <w:spacing w:before="0" w:after="1"/>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14,028</w:t>
            </w:r>
          </w:p>
        </w:tc>
        <w:tc>
          <w:tcPr>
            <w:tcW w:w="377" w:type="dxa"/>
            <w:tcBorders/>
            <w:vAlign w:val="center"/>
          </w:tcPr>
          <w:p>
            <w:pPr>
              <w:pStyle w:val="TableContents"/>
              <w:bidi w:val="0"/>
              <w:spacing w:before="0" w:after="1"/>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18,493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(4,465)</w:t>
            </w:r>
          </w:p>
        </w:tc>
      </w:tr>
    </w:tbl>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General and administrative expenses decreased by $4.5 million in the three months ended June 30, 2026 compared to the three months ended June 30, 2025. This decrease was primarily due to decreases of $1.8 million in professional and consulting fees primarily associated with decreased legal and consulting fees period over period, $1.5 million and $1.4 million in share-based compensation and personnel-related costs, respectively, primarily due to decreased headcount period over period resulting from our workforce reductions announced in August 2025 and March 2026. In addition, for the three months ended June 30, 2026, we recognized $0.4 million of personnel-related costs for severance and other employee termination benefits associated with our workforce reduction announced in March 2026.</w:t>
      </w:r>
    </w:p>
    <w:p>
      <w:pPr>
        <w:pStyle w:val="TextBody"/>
        <w:bidi w:val="0"/>
        <w:spacing w:before="240" w:after="240"/>
        <w:ind w:left="0" w:right="0" w:hanging="0"/>
        <w:jc w:val="left"/>
        <w:rPr>
          <w:rFonts w:ascii="Times New Roman;Times;serif" w:hAnsi="Times New Roman;Times;serif"/>
          <w:i/>
          <w:sz w:val="20"/>
        </w:rPr>
      </w:pPr>
      <w:r>
        <w:rPr>
          <w:rFonts w:ascii="Times New Roman;Times;serif" w:hAnsi="Times New Roman;Times;serif"/>
          <w:i/>
          <w:sz w:val="20"/>
        </w:rPr>
        <w:t>Other Income, net</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Other income, net decreased by $3.1 million in the three months ended June 30, 2026 compared to the three months ended June 30, 2025, which was primarily due to a decrease in interest income of $3.1 million due to lower average interest rates as well as lower cash and cash equivalents balances period over period.</w:t>
      </w:r>
    </w:p>
    <w:p>
      <w:pPr>
        <w:pStyle w:val="TextBody"/>
        <w:bidi w:val="0"/>
        <w:spacing w:before="240" w:after="240"/>
        <w:ind w:left="0" w:right="0" w:firstLine="720"/>
        <w:jc w:val="left"/>
        <w:rPr/>
      </w:pPr>
      <w:r>
        <w:rPr/>
        <w:t>​</w:t>
      </w:r>
    </w:p>
    <w:tbl>
      <w:tblPr>
        <w:tblW w:w="1150" w:type="dxa"/>
        <w:jc w:val="left"/>
        <w:tblInd w:w="0" w:type="dxa"/>
        <w:tblLayout w:type="fixed"/>
        <w:tblCellMar>
          <w:top w:w="0" w:type="dxa"/>
          <w:left w:w="0" w:type="dxa"/>
          <w:bottom w:w="0" w:type="dxa"/>
          <w:right w:w="0" w:type="dxa"/>
        </w:tblCellMar>
      </w:tblPr>
      <w:tblGrid>
        <w:gridCol w:w="124"/>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1"/>
              <w:ind w:left="0" w:right="0" w:hanging="0"/>
              <w:jc w:val="left"/>
              <w:rPr>
                <w:shd w:fill="FFFF00" w:val="clear"/>
              </w:rPr>
            </w:pPr>
            <w:r>
              <w:rPr>
                <w:shd w:fill="FFFF00" w:val="clear"/>
              </w:rPr>
              <w:t>​</w:t>
            </w:r>
          </w:p>
          <w:p>
            <w:pPr>
              <w:pStyle w:val="TableContents"/>
              <w:bidi w:val="0"/>
              <w:spacing w:before="0" w:after="1"/>
              <w:ind w:left="0" w:right="0" w:hanging="0"/>
              <w:jc w:val="left"/>
              <w:rPr>
                <w:shd w:fill="FFFF00" w:val="clear"/>
              </w:rPr>
            </w:pPr>
            <w:r>
              <w:rPr>
                <w:shd w:fill="FFFF00" w:val="clear"/>
              </w:rPr>
              <w:t>​</w:t>
            </w:r>
          </w:p>
          <w:p>
            <w:pPr>
              <w:pStyle w:val="TableContents"/>
              <w:bidi w:val="0"/>
              <w:spacing w:before="0" w:after="1"/>
              <w:ind w:left="0" w:right="0" w:hanging="0"/>
              <w:jc w:val="left"/>
              <w:rPr>
                <w:shd w:fill="FFFF00" w:val="clear"/>
              </w:rPr>
            </w:pPr>
            <w:r>
              <w:rPr>
                <w:shd w:fill="FFFF00" w:val="clear"/>
              </w:rPr>
              <w:t>​</w:t>
            </w:r>
          </w:p>
          <w:p>
            <w:pPr>
              <w:pStyle w:val="TableContents"/>
              <w:bidi w:val="0"/>
              <w:spacing w:before="0" w:after="1"/>
              <w:ind w:left="0" w:right="0" w:hanging="0"/>
              <w:jc w:val="left"/>
              <w:rPr>
                <w:shd w:fill="FFFF00" w:val="clear"/>
              </w:rPr>
            </w:pPr>
            <w:r>
              <w:rPr>
                <w:shd w:fill="FFFF00" w:val="clea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9215" cy="175260"/>
                      <wp:effectExtent l="0" t="0" r="0" b="0"/>
                      <wp:wrapNone/>
                      <wp:docPr id="255" name="Frame2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shd w:fill="FFFF00" w:val="clear"/>
                                    </w:rPr>
                                  </w:pPr>
                                  <w:r>
                                    <w:rPr>
                                      <w:shd w:fill="FFFF00"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shd w:fill="FFFF00" w:val="clear"/>
                              </w:rPr>
                            </w:pPr>
                            <w:r>
                              <w:rPr>
                                <w:shd w:fill="FFFF00" w:val="clea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9215" cy="175260"/>
                      <wp:effectExtent l="0" t="0" r="0" b="0"/>
                      <wp:wrapNone/>
                      <wp:docPr id="256" name="Frame2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shd w:fill="FFFF00" w:val="clear"/>
                                    </w:rPr>
                                  </w:pPr>
                                  <w:r>
                                    <w:rPr>
                                      <w:shd w:fill="FFFF00"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shd w:fill="FFFF00" w:val="clear"/>
                              </w:rPr>
                            </w:pPr>
                            <w:r>
                              <w:rPr>
                                <w:shd w:fill="FFFF00" w:val="clea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9215" cy="175260"/>
                      <wp:effectExtent l="0" t="0" r="0" b="0"/>
                      <wp:wrapNone/>
                      <wp:docPr id="257" name="Frame2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shd w:fill="FFFF00" w:val="clear"/>
                                    </w:rPr>
                                  </w:pPr>
                                  <w:r>
                                    <w:rPr>
                                      <w:shd w:fill="FFFF00"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shd w:fill="FFFF00" w:val="clear"/>
                              </w:rPr>
                            </w:pPr>
                            <w:r>
                              <w:rPr>
                                <w:shd w:fill="FFFF00" w:val="clea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9215" cy="175260"/>
                      <wp:effectExtent l="0" t="0" r="0" b="0"/>
                      <wp:wrapNone/>
                      <wp:docPr id="258" name="Frame2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shd w:fill="FFFF00" w:val="clear"/>
                                    </w:rPr>
                                  </w:pPr>
                                  <w:r>
                                    <w:rPr>
                                      <w:shd w:fill="FFFF00"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shd w:fill="FFFF00" w:val="clear"/>
                              </w:rPr>
                            </w:pPr>
                            <w:r>
                              <w:rPr>
                                <w:shd w:fill="FFFF00" w:val="clea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9215" cy="175260"/>
                      <wp:effectExtent l="0" t="0" r="0" b="0"/>
                      <wp:wrapNone/>
                      <wp:docPr id="259" name="Frame2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shd w:fill="FFFF00" w:val="clear"/>
                                    </w:rPr>
                                  </w:pPr>
                                  <w:r>
                                    <w:rPr>
                                      <w:shd w:fill="FFFF00"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shd w:fill="FFFF00" w:val="clear"/>
                              </w:rPr>
                            </w:pPr>
                            <w:r>
                              <w:rPr>
                                <w:shd w:fill="FFFF00" w:val="clea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9215" cy="175260"/>
                      <wp:effectExtent l="0" t="0" r="0" b="0"/>
                      <wp:wrapNone/>
                      <wp:docPr id="260" name="Frame2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shd w:fill="FFFF00" w:val="clear"/>
                                    </w:rPr>
                                  </w:pPr>
                                  <w:r>
                                    <w:rPr>
                                      <w:shd w:fill="FFFF00"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shd w:fill="FFFF00" w:val="clear"/>
                              </w:rPr>
                            </w:pPr>
                            <w:r>
                              <w:rPr>
                                <w:shd w:fill="FFFF00" w:val="clea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9215" cy="175260"/>
                      <wp:effectExtent l="0" t="0" r="0" b="0"/>
                      <wp:wrapNone/>
                      <wp:docPr id="261" name="Frame2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shd w:fill="FFFF00" w:val="clear"/>
                                    </w:rPr>
                                  </w:pPr>
                                  <w:r>
                                    <w:rPr>
                                      <w:shd w:fill="FFFF00"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shd w:fill="FFFF00" w:val="clear"/>
                              </w:rPr>
                            </w:pPr>
                            <w:r>
                              <w:rPr>
                                <w:shd w:fill="FFFF00" w:val="clea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9215" cy="175260"/>
                      <wp:effectExtent l="0" t="0" r="0" b="0"/>
                      <wp:wrapNone/>
                      <wp:docPr id="262" name="Frame2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shd w:fill="FFFF00" w:val="clear"/>
                                    </w:rPr>
                                  </w:pPr>
                                  <w:r>
                                    <w:rPr>
                                      <w:shd w:fill="FFFF00"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shd w:fill="FFFF00" w:val="clear"/>
                              </w:rPr>
                            </w:pPr>
                            <w:r>
                              <w:rPr>
                                <w:shd w:fill="FFFF00" w:val="clear"/>
                              </w:rPr>
                              <w:t>​</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97790" cy="175260"/>
                      <wp:effectExtent l="0" t="0" r="0" b="0"/>
                      <wp:wrapNone/>
                      <wp:docPr id="263" name="Frame26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shd w:fill="FFFF00" w:val="clear"/>
                                    </w:rPr>
                                  </w:pPr>
                                  <w:r>
                                    <w:rPr>
                                      <w:shd w:fill="FFFF00"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shd w:fill="FFFF00" w:val="clear"/>
                              </w:rPr>
                            </w:pPr>
                            <w:r>
                              <w:rPr>
                                <w:shd w:fill="FFFF00" w:val="clear"/>
                              </w:rPr>
                              <w:t>​</w:t>
                            </w:r>
                          </w:p>
                        </w:txbxContent>
                      </v:textbox>
                      <w10:wrap type="none"/>
                    </v:rect>
                  </w:pict>
                </mc:Fallback>
              </mc:AlternateConten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Comparison of the Six Months Ended June 30, 2026 and 2025</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our results of operations for the periods presented:</w:t>
      </w:r>
    </w:p>
    <w:tbl>
      <w:tblPr>
        <w:tblW w:w="7750" w:type="dxa"/>
        <w:jc w:val="left"/>
        <w:tblInd w:w="0" w:type="dxa"/>
        <w:tblLayout w:type="fixed"/>
        <w:tblCellMar>
          <w:top w:w="0" w:type="dxa"/>
          <w:left w:w="0" w:type="dxa"/>
          <w:bottom w:w="0" w:type="dxa"/>
          <w:right w:w="0" w:type="dxa"/>
        </w:tblCellMar>
      </w:tblPr>
      <w:tblGrid>
        <w:gridCol w:w="3436"/>
        <w:gridCol w:w="346"/>
        <w:gridCol w:w="211"/>
        <w:gridCol w:w="901"/>
        <w:gridCol w:w="346"/>
        <w:gridCol w:w="211"/>
        <w:gridCol w:w="901"/>
        <w:gridCol w:w="346"/>
        <w:gridCol w:w="211"/>
        <w:gridCol w:w="841"/>
      </w:tblGrid>
      <w:tr>
        <w:trPr/>
        <w:tc>
          <w:tcPr>
            <w:tcW w:w="3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181860" cy="175260"/>
                      <wp:effectExtent l="0" t="0" r="0" b="0"/>
                      <wp:wrapNone/>
                      <wp:docPr id="264" name="Frame264"/>
                      <a:graphic xmlns:a="http://schemas.openxmlformats.org/drawingml/2006/main">
                        <a:graphicData uri="http://schemas.microsoft.com/office/word/2010/wordprocessingShape">
                          <wps:wsp>
                            <wps:cNvSpPr txBox="1"/>
                            <wps:spPr>
                              <a:xfrm>
                                <a:off x="0" y="0"/>
                                <a:ext cx="2181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19710" cy="175260"/>
                      <wp:effectExtent l="0" t="0" r="0" b="0"/>
                      <wp:wrapNone/>
                      <wp:docPr id="265" name="Frame2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33985" cy="175260"/>
                      <wp:effectExtent l="0" t="0" r="0" b="0"/>
                      <wp:wrapNone/>
                      <wp:docPr id="266" name="Frame2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572135" cy="175260"/>
                      <wp:effectExtent l="0" t="0" r="0" b="0"/>
                      <wp:wrapNone/>
                      <wp:docPr id="267" name="Frame267"/>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19710" cy="175260"/>
                      <wp:effectExtent l="0" t="0" r="0" b="0"/>
                      <wp:wrapNone/>
                      <wp:docPr id="268" name="Frame2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33985" cy="175260"/>
                      <wp:effectExtent l="0" t="0" r="0" b="0"/>
                      <wp:wrapNone/>
                      <wp:docPr id="269" name="Frame2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572135" cy="175260"/>
                      <wp:effectExtent l="0" t="0" r="0" b="0"/>
                      <wp:wrapNone/>
                      <wp:docPr id="270" name="Frame27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19710" cy="175260"/>
                      <wp:effectExtent l="0" t="0" r="0" b="0"/>
                      <wp:wrapNone/>
                      <wp:docPr id="271" name="Frame2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33985" cy="175260"/>
                      <wp:effectExtent l="0" t="0" r="0" b="0"/>
                      <wp:wrapNone/>
                      <wp:docPr id="272" name="Frame2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534035" cy="175260"/>
                      <wp:effectExtent l="0" t="0" r="0" b="0"/>
                      <wp:wrapNone/>
                      <wp:docPr id="273" name="Frame273"/>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7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r>
      <w:tr>
        <w:trPr/>
        <w:tc>
          <w:tcPr>
            <w:tcW w:w="34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7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pPr>
            <w:r>
              <w:rPr/>
              <w:t>​</w:t>
            </w:r>
          </w:p>
        </w:tc>
      </w:tr>
      <w:tr>
        <w:trPr/>
        <w:tc>
          <w:tcPr>
            <w:tcW w:w="34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7750"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34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968"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4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Collaboration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12,897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(11,381)</w:t>
            </w:r>
          </w:p>
        </w:tc>
      </w:tr>
      <w:tr>
        <w:trPr/>
        <w:tc>
          <w:tcPr>
            <w:tcW w:w="34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  ​</w:t>
            </w:r>
          </w:p>
        </w:tc>
      </w:tr>
      <w:tr>
        <w:trPr/>
        <w:tc>
          <w:tcPr>
            <w:tcW w:w="34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90,061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130,087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(40,026)</w:t>
            </w:r>
          </w:p>
        </w:tc>
      </w:tr>
      <w:tr>
        <w:trPr/>
        <w:tc>
          <w:tcPr>
            <w:tcW w:w="34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31,496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39,616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(8,120)</w:t>
            </w:r>
          </w:p>
        </w:tc>
      </w:tr>
      <w:tr>
        <w:trPr/>
        <w:tc>
          <w:tcPr>
            <w:tcW w:w="34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121,557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169,703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(48,146)</w:t>
            </w:r>
          </w:p>
        </w:tc>
      </w:tr>
      <w:tr>
        <w:trPr/>
        <w:tc>
          <w:tcPr>
            <w:tcW w:w="34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(120,041)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(156,806)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36,765</w:t>
            </w:r>
          </w:p>
        </w:tc>
      </w:tr>
      <w:tr>
        <w:trPr/>
        <w:tc>
          <w:tcPr>
            <w:tcW w:w="34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  ​</w:t>
            </w:r>
          </w:p>
        </w:tc>
      </w:tr>
      <w:tr>
        <w:trPr/>
        <w:tc>
          <w:tcPr>
            <w:tcW w:w="34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and other income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9,237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15,887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(6,650)</w:t>
            </w:r>
          </w:p>
        </w:tc>
      </w:tr>
      <w:tr>
        <w:trPr/>
        <w:tc>
          <w:tcPr>
            <w:tcW w:w="34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34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income, net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9,145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15,782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(6,637)</w:t>
            </w:r>
          </w:p>
        </w:tc>
      </w:tr>
      <w:tr>
        <w:trPr/>
        <w:tc>
          <w:tcPr>
            <w:tcW w:w="34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before income tax provision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(110,896)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(141,024)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30,128</w:t>
            </w:r>
          </w:p>
        </w:tc>
      </w:tr>
      <w:tr>
        <w:trPr/>
        <w:tc>
          <w:tcPr>
            <w:tcW w:w="34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(benefit from) income taxes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1,580</w:t>
            </w:r>
          </w:p>
        </w:tc>
      </w:tr>
      <w:tr>
        <w:trPr/>
        <w:tc>
          <w:tcPr>
            <w:tcW w:w="34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(111,158)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(139,706)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28,548</w:t>
            </w:r>
          </w:p>
        </w:tc>
      </w:tr>
    </w:tbl>
    <w:p>
      <w:pPr>
        <w:pStyle w:val="TextBody"/>
        <w:bidi w:val="0"/>
        <w:spacing w:before="240" w:after="240"/>
        <w:ind w:left="0" w:right="0" w:hanging="0"/>
        <w:jc w:val="left"/>
        <w:rPr>
          <w:rFonts w:ascii="Times New Roman;Times;serif" w:hAnsi="Times New Roman;Times;serif"/>
          <w:i/>
          <w:sz w:val="20"/>
        </w:rPr>
      </w:pPr>
      <w:r>
        <w:rPr>
          <w:rFonts w:ascii="Times New Roman;Times;serif" w:hAnsi="Times New Roman;Times;serif"/>
          <w:i/>
          <w:sz w:val="20"/>
        </w:rPr>
        <w:t>Collaboration Revenue</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Collaboration revenue decreased by $11.4 million in the six months ended June 30, 2026, compared to the six months ended June 30, 2025, primarily due to decreases of $8.1 million and $2.9 million from our collaborations with Genentech and Novartis, respectively, which were terminated effective August 2025 and February 2026, respectively.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Research and Development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table below summarizes our research and development expenses for the periods presented:</w:t>
      </w:r>
    </w:p>
    <w:tbl>
      <w:tblPr>
        <w:tblW w:w="9205" w:type="dxa"/>
        <w:jc w:val="left"/>
        <w:tblInd w:w="0" w:type="dxa"/>
        <w:tblLayout w:type="fixed"/>
        <w:tblCellMar>
          <w:top w:w="0" w:type="dxa"/>
          <w:left w:w="0" w:type="dxa"/>
          <w:bottom w:w="0" w:type="dxa"/>
          <w:right w:w="0" w:type="dxa"/>
        </w:tblCellMar>
      </w:tblPr>
      <w:tblGrid>
        <w:gridCol w:w="5101"/>
        <w:gridCol w:w="346"/>
        <w:gridCol w:w="211"/>
        <w:gridCol w:w="796"/>
        <w:gridCol w:w="346"/>
        <w:gridCol w:w="211"/>
        <w:gridCol w:w="796"/>
        <w:gridCol w:w="346"/>
        <w:gridCol w:w="211"/>
        <w:gridCol w:w="841"/>
      </w:tblGrid>
      <w:tr>
        <w:trPr/>
        <w:tc>
          <w:tcPr>
            <w:tcW w:w="51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19710" cy="175260"/>
                      <wp:effectExtent l="0" t="0" r="0" b="0"/>
                      <wp:wrapNone/>
                      <wp:docPr id="274" name="Frame2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33985" cy="175260"/>
                      <wp:effectExtent l="0" t="0" r="0" b="0"/>
                      <wp:wrapNone/>
                      <wp:docPr id="275" name="Frame2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505460" cy="175260"/>
                      <wp:effectExtent l="0" t="0" r="0" b="0"/>
                      <wp:wrapNone/>
                      <wp:docPr id="276" name="Frame27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19710" cy="175260"/>
                      <wp:effectExtent l="0" t="0" r="0" b="0"/>
                      <wp:wrapNone/>
                      <wp:docPr id="277" name="Frame2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33985" cy="175260"/>
                      <wp:effectExtent l="0" t="0" r="0" b="0"/>
                      <wp:wrapNone/>
                      <wp:docPr id="278" name="Frame2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505460" cy="175260"/>
                      <wp:effectExtent l="0" t="0" r="0" b="0"/>
                      <wp:wrapNone/>
                      <wp:docPr id="279" name="Frame27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19710" cy="175260"/>
                      <wp:effectExtent l="0" t="0" r="0" b="0"/>
                      <wp:wrapNone/>
                      <wp:docPr id="280" name="Frame2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33985" cy="175260"/>
                      <wp:effectExtent l="0" t="0" r="0" b="0"/>
                      <wp:wrapNone/>
                      <wp:docPr id="281" name="Frame2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534035" cy="175260"/>
                      <wp:effectExtent l="0" t="0" r="0" b="0"/>
                      <wp:wrapNone/>
                      <wp:docPr id="282" name="Frame282"/>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1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6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pPr>
            <w:r>
              <w:rPr/>
              <w:t>​</w:t>
            </w:r>
          </w:p>
        </w:tc>
      </w:tr>
      <w:tr>
        <w:trPr/>
        <w:tc>
          <w:tcPr>
            <w:tcW w:w="51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9205"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51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758"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51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Zelenectide pevedotin (Nectin</w:t>
              <w:noBreakHyphen/>
              <w:t>4 BDC)</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40,629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76,743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(36,114)</w:t>
            </w:r>
          </w:p>
        </w:tc>
      </w:tr>
      <w:tr>
        <w:trPr/>
        <w:tc>
          <w:tcPr>
            <w:tcW w:w="51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Nuzefatide pevedotin (EphA2 BDC)</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4,686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4,346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w:t>
            </w:r>
          </w:p>
        </w:tc>
      </w:tr>
      <w:tr>
        <w:trPr/>
        <w:tc>
          <w:tcPr>
            <w:tcW w:w="51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BT1702 (MT1-MMP BRC)</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558</w:t>
            </w:r>
          </w:p>
        </w:tc>
      </w:tr>
      <w:tr>
        <w:trPr/>
        <w:tc>
          <w:tcPr>
            <w:tcW w:w="51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Bicycle tumor-targeted immune cell agonists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w:t>
            </w:r>
          </w:p>
        </w:tc>
      </w:tr>
      <w:tr>
        <w:trPr/>
        <w:tc>
          <w:tcPr>
            <w:tcW w:w="51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Discovery, platform and other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16,865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21,144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(4,279)</w:t>
            </w:r>
          </w:p>
        </w:tc>
      </w:tr>
      <w:tr>
        <w:trPr/>
        <w:tc>
          <w:tcPr>
            <w:tcW w:w="51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Employee and contractor related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30,145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35,544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(5,399)</w:t>
            </w:r>
          </w:p>
        </w:tc>
      </w:tr>
      <w:tr>
        <w:trPr/>
        <w:tc>
          <w:tcPr>
            <w:tcW w:w="51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Share-based compensation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5,573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8,505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(2,932)</w:t>
            </w:r>
          </w:p>
        </w:tc>
      </w:tr>
      <w:tr>
        <w:trPr/>
        <w:tc>
          <w:tcPr>
            <w:tcW w:w="51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Facility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3,262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(269)</w:t>
            </w:r>
          </w:p>
        </w:tc>
      </w:tr>
      <w:tr>
        <w:trPr/>
        <w:tc>
          <w:tcPr>
            <w:tcW w:w="51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incentives and government grants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(12,548)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(20,838)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8,290</w:t>
            </w:r>
          </w:p>
        </w:tc>
      </w:tr>
      <w:tr>
        <w:trPr/>
        <w:tc>
          <w:tcPr>
            <w:tcW w:w="51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research and development expenses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90,061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130,087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(40,026)</w:t>
            </w:r>
          </w:p>
        </w:tc>
      </w:tr>
    </w:tbl>
    <w:p>
      <w:pPr>
        <w:pStyle w:val="TextBody"/>
        <w:bidi w:val="0"/>
        <w:spacing w:before="240" w:after="0"/>
        <w:ind w:left="0" w:right="0" w:firstLine="720"/>
        <w:jc w:val="left"/>
        <w:rPr>
          <w:rFonts w:ascii="Times New Roman;Times;serif" w:hAnsi="Times New Roman;Times;serif"/>
          <w:sz w:val="20"/>
        </w:rPr>
      </w:pPr>
      <w:r>
        <w:rPr>
          <w:rFonts w:ascii="Times New Roman;Times;serif" w:hAnsi="Times New Roman;Times;serif"/>
          <w:sz w:val="20"/>
        </w:rPr>
        <w:t xml:space="preserve">Research and development expenses decreased by $40.0 million in the six months ended June 30, 2026 compared to the six months ended June 30, 2025, primarily due to decreases of $36.1 million in clinical program expenses for zelenectide pevedotin as the dose selection portion of the Duravelo-2 clinical trial was fully enrolled throughout the six months ended June 30, 2026, resulting in decreased expense period over period, $5.4 million and $2.9 million in employee and contractor related expenses and share-based compensation, respectively, primarily due to decreased headcount period over period resulting from our workforce reductions announced in August 2025 and March 2026, and $4.3 million in discovery, platform and other expense due to the timing of preclinical activities for our pipeline programs. These decreases were offset by $8.3 million of lower research and development incentives associated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with the corresponding reduction in qualifying research and development expenses period over period. In addition, for the six months ended June 30, 2026, we recognized $4.2 million of employee and contractor related expenses for severance and other employee termination benefits associated with our workforce reduction announced in March 2026.</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table below summarizes our general and administrative expenses for the periods presented:</w:t>
      </w:r>
    </w:p>
    <w:tbl>
      <w:tblPr>
        <w:tblW w:w="7063" w:type="dxa"/>
        <w:jc w:val="left"/>
        <w:tblInd w:w="0" w:type="dxa"/>
        <w:tblLayout w:type="fixed"/>
        <w:tblCellMar>
          <w:top w:w="0" w:type="dxa"/>
          <w:left w:w="0" w:type="dxa"/>
          <w:bottom w:w="0" w:type="dxa"/>
          <w:right w:w="0" w:type="dxa"/>
        </w:tblCellMar>
      </w:tblPr>
      <w:tblGrid>
        <w:gridCol w:w="3541"/>
        <w:gridCol w:w="109"/>
        <w:gridCol w:w="211"/>
        <w:gridCol w:w="676"/>
        <w:gridCol w:w="346"/>
        <w:gridCol w:w="211"/>
        <w:gridCol w:w="676"/>
        <w:gridCol w:w="346"/>
        <w:gridCol w:w="211"/>
        <w:gridCol w:w="736"/>
      </w:tblGrid>
      <w:tr>
        <w:trPr/>
        <w:tc>
          <w:tcPr>
            <w:tcW w:w="35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9215" cy="175260"/>
                      <wp:effectExtent l="0" t="0" r="0" b="0"/>
                      <wp:wrapNone/>
                      <wp:docPr id="283" name="Frame2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33985" cy="175260"/>
                      <wp:effectExtent l="0" t="0" r="0" b="0"/>
                      <wp:wrapNone/>
                      <wp:docPr id="284" name="Frame2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429260" cy="175260"/>
                      <wp:effectExtent l="0" t="0" r="0" b="0"/>
                      <wp:wrapNone/>
                      <wp:docPr id="285" name="Frame28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19710" cy="175260"/>
                      <wp:effectExtent l="0" t="0" r="0" b="0"/>
                      <wp:wrapNone/>
                      <wp:docPr id="286" name="Frame2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33985" cy="175260"/>
                      <wp:effectExtent l="0" t="0" r="0" b="0"/>
                      <wp:wrapNone/>
                      <wp:docPr id="287" name="Frame2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429260" cy="175260"/>
                      <wp:effectExtent l="0" t="0" r="0" b="0"/>
                      <wp:wrapNone/>
                      <wp:docPr id="288" name="Frame28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19710" cy="175260"/>
                      <wp:effectExtent l="0" t="0" r="0" b="0"/>
                      <wp:wrapNone/>
                      <wp:docPr id="289" name="Frame2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33985" cy="175260"/>
                      <wp:effectExtent l="0" t="0" r="0" b="0"/>
                      <wp:wrapNone/>
                      <wp:docPr id="290" name="Frame2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467360" cy="175260"/>
                      <wp:effectExtent l="0" t="0" r="0" b="0"/>
                      <wp:wrapNone/>
                      <wp:docPr id="291" name="Frame291"/>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pPr>
            <w:r>
              <w:rPr/>
              <w:t>​</w:t>
            </w:r>
          </w:p>
        </w:tc>
      </w:tr>
      <w:tr>
        <w:trPr/>
        <w:tc>
          <w:tcPr>
            <w:tcW w:w="35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7063"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35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413"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Personnel-related costs</w:t>
            </w:r>
          </w:p>
        </w:tc>
        <w:tc>
          <w:tcPr>
            <w:tcW w:w="109"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13,272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14,106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(834)</w:t>
            </w:r>
          </w:p>
        </w:tc>
      </w:tr>
      <w:tr>
        <w:trPr/>
        <w:tc>
          <w:tcPr>
            <w:tcW w:w="35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Professional and consulting fees</w:t>
            </w:r>
          </w:p>
        </w:tc>
        <w:tc>
          <w:tcPr>
            <w:tcW w:w="109" w:type="dxa"/>
            <w:tcBorders/>
            <w:vAlign w:val="center"/>
          </w:tcPr>
          <w:p>
            <w:pPr>
              <w:pStyle w:val="TableContents"/>
              <w:bidi w:val="0"/>
              <w:spacing w:before="0" w:after="1"/>
              <w:ind w:left="0" w:right="0" w:hanging="0"/>
              <w:jc w:val="left"/>
              <w:rPr>
                <w:color w:val="FF0000"/>
              </w:rPr>
            </w:pPr>
            <w:r>
              <w:rPr>
                <w:color w:val="FF0000"/>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11,001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(4,872)</w:t>
            </w:r>
          </w:p>
        </w:tc>
      </w:tr>
      <w:tr>
        <w:trPr/>
        <w:tc>
          <w:tcPr>
            <w:tcW w:w="3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general and administration costs</w:t>
            </w:r>
          </w:p>
        </w:tc>
        <w:tc>
          <w:tcPr>
            <w:tcW w:w="109"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4,510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4,520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35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Share-based compensation </w:t>
            </w:r>
          </w:p>
        </w:tc>
        <w:tc>
          <w:tcPr>
            <w:tcW w:w="109" w:type="dxa"/>
            <w:tcBorders/>
            <w:vAlign w:val="center"/>
          </w:tcPr>
          <w:p>
            <w:pPr>
              <w:pStyle w:val="TableContents"/>
              <w:bidi w:val="0"/>
              <w:spacing w:before="0" w:after="1"/>
              <w:ind w:left="0" w:right="0" w:hanging="0"/>
              <w:jc w:val="left"/>
              <w:rPr>
                <w:color w:val="FF0000"/>
              </w:rPr>
            </w:pPr>
            <w:r>
              <w:rPr>
                <w:color w:val="FF0000"/>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7,761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10,535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(2,774)</w:t>
            </w:r>
          </w:p>
        </w:tc>
      </w:tr>
      <w:tr>
        <w:trPr/>
        <w:tc>
          <w:tcPr>
            <w:tcW w:w="3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Effect of foreign exchange rates</w:t>
            </w:r>
          </w:p>
        </w:tc>
        <w:tc>
          <w:tcPr>
            <w:tcW w:w="109"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w:t>
            </w:r>
          </w:p>
        </w:tc>
      </w:tr>
      <w:tr>
        <w:trPr/>
        <w:tc>
          <w:tcPr>
            <w:tcW w:w="35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general and administrative expenses</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31,496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39,616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(8,120)</w:t>
            </w:r>
          </w:p>
        </w:tc>
      </w:tr>
    </w:tbl>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General and administrative expenses decreased by $8.1 million in the six months ended June 30, 2026 compared to the six months ended June 30, 2025. This decrease was primarily due to decreases of $4.9 million in professional and consulting fees primarily associated with decreased legal and consulting fees period over period, and $2.8 million in share-based compensation primarily due to the impact of our workforce reductions announced in August 2025 and March 2026. In addition, for the six months ended June 30, 2026, we recognized $1.3 million of personnel-related costs for severance and other employee termination benefits associated with our workforce reduction announced in March 2026.</w:t>
      </w:r>
    </w:p>
    <w:p>
      <w:pPr>
        <w:pStyle w:val="TextBody"/>
        <w:bidi w:val="0"/>
        <w:spacing w:before="240" w:after="240"/>
        <w:ind w:left="0" w:right="0" w:hanging="0"/>
        <w:jc w:val="left"/>
        <w:rPr>
          <w:rFonts w:ascii="Times New Roman;Times;serif" w:hAnsi="Times New Roman;Times;serif"/>
          <w:i/>
          <w:sz w:val="20"/>
        </w:rPr>
      </w:pPr>
      <w:r>
        <w:rPr>
          <w:rFonts w:ascii="Times New Roman;Times;serif" w:hAnsi="Times New Roman;Times;serif"/>
          <w:i/>
          <w:sz w:val="20"/>
        </w:rPr>
        <w:t>Other Income, net</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Other income, net decreased by $6.7 million in the six months ended June 30, 2026 compared to the six months ended June 30, 2025, which was primarily due to a decrease in interest income of $6.6 million due to lower average interest rates as well as lower cash and cash equivalents balances period over period.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Provision for (Benefit from) Income Taxes</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The provision for income taxes of $0.3 million for the six months ended June 30, 2026, was primarily the result of timing differences associated with discrete items for the settlement of restricted share units. The benefit from income taxes of $1.3 million for the six months ended June 30, 2025, was primarily the result of deferred tax assets benefited in the United States that do not have a valuation allowance against them because of profits that will be generated by an intercompany service agreement.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Liquidity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From our inception through June 30, 2026, we have not generated any revenue from product sales and have incurred significant operating losses and negative cash flows from our operations. We do not expect to generate significant revenue from sales of any products for several years, if at all.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 date, we have financed our operations primarily with proceeds from the sale of equity securities; proceeds received from upfront payments, payments for research and development services, and development milestone payments pursuant to collaboration agreements; and loan borrowings.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Cash Flows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summarizes our cash flows for each of the periods presented:</w:t>
      </w:r>
    </w:p>
    <w:p>
      <w:pPr>
        <w:pStyle w:val="TextBody"/>
        <w:bidi w:val="0"/>
        <w:spacing w:before="0" w:after="0"/>
        <w:ind w:left="0" w:right="0" w:hanging="0"/>
        <w:jc w:val="left"/>
        <w:rPr/>
      </w:pPr>
      <w:r>
        <w:rPr/>
        <w:t>​</w:t>
      </w:r>
    </w:p>
    <w:tbl>
      <w:tblPr>
        <w:tblW w:w="7702" w:type="dxa"/>
        <w:jc w:val="left"/>
        <w:tblInd w:w="0" w:type="dxa"/>
        <w:tblLayout w:type="fixed"/>
        <w:tblCellMar>
          <w:top w:w="0" w:type="dxa"/>
          <w:left w:w="0" w:type="dxa"/>
          <w:bottom w:w="0" w:type="dxa"/>
          <w:right w:w="0" w:type="dxa"/>
        </w:tblCellMar>
      </w:tblPr>
      <w:tblGrid>
        <w:gridCol w:w="4741"/>
        <w:gridCol w:w="346"/>
        <w:gridCol w:w="211"/>
        <w:gridCol w:w="901"/>
        <w:gridCol w:w="346"/>
        <w:gridCol w:w="211"/>
        <w:gridCol w:w="946"/>
      </w:tblGrid>
      <w:tr>
        <w:trPr/>
        <w:tc>
          <w:tcPr>
            <w:tcW w:w="47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19710" cy="175260"/>
                      <wp:effectExtent l="0" t="0" r="0" b="0"/>
                      <wp:wrapNone/>
                      <wp:docPr id="292" name="Frame2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33985" cy="175260"/>
                      <wp:effectExtent l="0" t="0" r="0" b="0"/>
                      <wp:wrapNone/>
                      <wp:docPr id="293" name="Frame2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572135" cy="175260"/>
                      <wp:effectExtent l="0" t="0" r="0" b="0"/>
                      <wp:wrapNone/>
                      <wp:docPr id="294" name="Frame294"/>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19710" cy="175260"/>
                      <wp:effectExtent l="0" t="0" r="0" b="0"/>
                      <wp:wrapNone/>
                      <wp:docPr id="295" name="Frame2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33985" cy="175260"/>
                      <wp:effectExtent l="0" t="0" r="0" b="0"/>
                      <wp:wrapNone/>
                      <wp:docPr id="296" name="Frame2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00710" cy="175260"/>
                      <wp:effectExtent l="0" t="0" r="0" b="0"/>
                      <wp:wrapNone/>
                      <wp:docPr id="297" name="Frame297"/>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26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47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702"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7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1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(115,531)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(159,156)</w:t>
            </w:r>
          </w:p>
        </w:tc>
      </w:tr>
      <w:tr>
        <w:trPr/>
        <w:tc>
          <w:tcPr>
            <w:tcW w:w="4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(1,102)</w:t>
            </w:r>
          </w:p>
        </w:tc>
      </w:tr>
      <w:tr>
        <w:trPr/>
        <w:tc>
          <w:tcPr>
            <w:tcW w:w="4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r>
      <w:tr>
        <w:trPr/>
        <w:tc>
          <w:tcPr>
            <w:tcW w:w="4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exchange rate changes on cash</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2,275</w:t>
            </w:r>
          </w:p>
        </w:tc>
      </w:tr>
      <w:tr>
        <w:trPr/>
        <w:tc>
          <w:tcPr>
            <w:tcW w:w="4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decrease in cash, cash equivalents and 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(118,606)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(158,069)</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Operating Activities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Net cash used in operating activities for the six months ended June 30, 2026 was $115.5 million as compared to $159.2 million for the six months ended June 30, 2025. The decrease in cash used in operations of $43.6 million was primarily due to a decrease in cash payments for clinical program activities, primarily related to clinical trials for zelenectide pevedotin as the dose selection portion of the Duravelo-2 clinical trial was fully enrolled throughout the six months ended June 30, 2026, resulting in reduced cash payments, and the prior year included higher payments associated with the initiation of the Phase I/II clinical trial for zelenectide pevedotin in patients with NECTIN4 amplified advanced breast cancer.</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Investing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six months ended June 30, 2026 and 2025, we used $1.0 million and $1.1 million, respectively, of cash in investing activities for purchases of property and equipment, consisting primarily of laboratory equipment.</w:t>
      </w:r>
    </w:p>
    <w:p>
      <w:pPr>
        <w:pStyle w:val="TextBody"/>
        <w:bidi w:val="0"/>
        <w:spacing w:before="0" w:after="240"/>
        <w:ind w:left="0" w:right="0" w:hanging="0"/>
        <w:jc w:val="left"/>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Financing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each of the six months ended June 30, 2026 and 2025, net cash used in financing activities was $0.1 million, primarily consisting of principal payments on finance lease obligations.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Capital Resources and Funding Requirements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material cash requirements include expenses associated with our ongoing activities, particularly as we advance the preclinical activities and clinical trials of our product candidates and as we: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our development of our product candidates, including continuing current trials and conducting future clinical trials of nuzefatide pevedotin and BT1702;</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 to identify and develop additional product candidates, including expanding our pipeline of Bicycle radioligand molecules and next-generation BDC molecules;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 the necessary processes, controls and manufacturing data to seek to obtain marketing approval for our product candidates and to support manufacturing of product to commercial scale;</w:t>
            </w:r>
          </w:p>
        </w:tc>
      </w:tr>
    </w:tbl>
    <w:tbl>
      <w:tblPr>
        <w:tblW w:w="6501" w:type="dxa"/>
        <w:jc w:val="left"/>
        <w:tblInd w:w="0" w:type="dxa"/>
        <w:tblLayout w:type="fixed"/>
        <w:tblCellMar>
          <w:top w:w="28" w:type="dxa"/>
          <w:left w:w="28" w:type="dxa"/>
          <w:bottom w:w="28" w:type="dxa"/>
          <w:right w:w="28" w:type="dxa"/>
        </w:tblCellMar>
      </w:tblPr>
      <w:tblGrid>
        <w:gridCol w:w="124"/>
        <w:gridCol w:w="256"/>
        <w:gridCol w:w="6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 maintain, expand and protect our intellectual property portfolio;</w:t>
            </w:r>
          </w:p>
        </w:tc>
      </w:tr>
    </w:tbl>
    <w:tbl>
      <w:tblPr>
        <w:tblW w:w="9246" w:type="dxa"/>
        <w:jc w:val="left"/>
        <w:tblInd w:w="0" w:type="dxa"/>
        <w:tblLayout w:type="fixed"/>
        <w:tblCellMar>
          <w:top w:w="28" w:type="dxa"/>
          <w:left w:w="28" w:type="dxa"/>
          <w:bottom w:w="28" w:type="dxa"/>
          <w:right w:w="28" w:type="dxa"/>
        </w:tblCellMar>
      </w:tblPr>
      <w:tblGrid>
        <w:gridCol w:w="124"/>
        <w:gridCol w:w="256"/>
        <w:gridCol w:w="88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 marketing approvals for any of our product candidates that successfully complete clinical trials, if any;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hire and retain additional personnel, such as non-clinical, clinical, pharmacovigilance, quality assurance, regulatory affairs, manufacturing, distribution, legal, compliance, medical affairs, finance, commercial and scientific personnel;</w:t>
            </w:r>
          </w:p>
        </w:tc>
      </w:tr>
    </w:tbl>
    <w:tbl>
      <w:tblPr>
        <w:tblW w:w="4896" w:type="dxa"/>
        <w:jc w:val="left"/>
        <w:tblInd w:w="0" w:type="dxa"/>
        <w:tblLayout w:type="fixed"/>
        <w:tblCellMar>
          <w:top w:w="28" w:type="dxa"/>
          <w:left w:w="28" w:type="dxa"/>
          <w:bottom w:w="28" w:type="dxa"/>
          <w:right w:w="28" w:type="dxa"/>
        </w:tblCellMar>
      </w:tblPr>
      <w:tblGrid>
        <w:gridCol w:w="124"/>
        <w:gridCol w:w="256"/>
        <w:gridCol w:w="4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 or in-license other products and technologies;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 our infrastructure and facilities to accommodate our growing employee base, including adding equipment and infrastructure to support our research and development;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operational, financial and management information systems and personnel, including personnel to support our research and development programs, any future commercialization efforts.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we obtain marketing approval for any product candidate that we identify and develop, we expect to incur significant commercialization expenses related to product sales, marketing, manufacturing, and distribution to the extent that such sales, marketing, and distribution are not the responsibility of our collaboration partners.</w:t>
      </w:r>
    </w:p>
    <w:p>
      <w:pPr>
        <w:pStyle w:val="TextBody"/>
        <w:bidi w:val="0"/>
        <w:spacing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following table summarizes our contractual obligations as of June 30, 2026, and the effects that such obligations are expected to have on our liquidity and cash flows in future periods. For additional information, see Note 10 to our condensed consolidated financial statements appearing elsewhere in this Quarterly Report.</w:t>
      </w:r>
    </w:p>
    <w:tbl>
      <w:tblPr>
        <w:tblW w:w="9357" w:type="dxa"/>
        <w:jc w:val="left"/>
        <w:tblInd w:w="0" w:type="dxa"/>
        <w:tblLayout w:type="fixed"/>
        <w:tblCellMar>
          <w:top w:w="0" w:type="dxa"/>
          <w:left w:w="0" w:type="dxa"/>
          <w:bottom w:w="0" w:type="dxa"/>
          <w:right w:w="0" w:type="dxa"/>
        </w:tblCellMar>
      </w:tblPr>
      <w:tblGrid>
        <w:gridCol w:w="2686"/>
        <w:gridCol w:w="346"/>
        <w:gridCol w:w="211"/>
        <w:gridCol w:w="676"/>
        <w:gridCol w:w="346"/>
        <w:gridCol w:w="211"/>
        <w:gridCol w:w="571"/>
        <w:gridCol w:w="346"/>
        <w:gridCol w:w="259"/>
        <w:gridCol w:w="702"/>
        <w:gridCol w:w="346"/>
        <w:gridCol w:w="375"/>
        <w:gridCol w:w="1020"/>
        <w:gridCol w:w="346"/>
        <w:gridCol w:w="262"/>
        <w:gridCol w:w="654"/>
      </w:tblGrid>
      <w:tr>
        <w:trPr/>
        <w:tc>
          <w:tcPr>
            <w:tcW w:w="26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19710" cy="175260"/>
                      <wp:effectExtent l="0" t="0" r="0" b="0"/>
                      <wp:wrapNone/>
                      <wp:docPr id="298" name="Frame2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33985" cy="175260"/>
                      <wp:effectExtent l="0" t="0" r="0" b="0"/>
                      <wp:wrapNone/>
                      <wp:docPr id="299" name="Frame2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429260" cy="175260"/>
                      <wp:effectExtent l="0" t="0" r="0" b="0"/>
                      <wp:wrapNone/>
                      <wp:docPr id="300" name="Frame30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19710" cy="175260"/>
                      <wp:effectExtent l="0" t="0" r="0" b="0"/>
                      <wp:wrapNone/>
                      <wp:docPr id="301" name="Frame3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133985" cy="175260"/>
                      <wp:effectExtent l="0" t="0" r="0" b="0"/>
                      <wp:wrapNone/>
                      <wp:docPr id="302" name="Frame3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362585" cy="175260"/>
                      <wp:effectExtent l="0" t="0" r="0" b="0"/>
                      <wp:wrapNone/>
                      <wp:docPr id="303" name="Frame30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19710" cy="175260"/>
                      <wp:effectExtent l="0" t="0" r="0" b="0"/>
                      <wp:wrapNone/>
                      <wp:docPr id="304" name="Frame3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64465" cy="175260"/>
                      <wp:effectExtent l="0" t="0" r="0" b="0"/>
                      <wp:wrapNone/>
                      <wp:docPr id="305" name="Frame305"/>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445770" cy="175260"/>
                      <wp:effectExtent l="0" t="0" r="0" b="0"/>
                      <wp:wrapNone/>
                      <wp:docPr id="306" name="Frame306"/>
                      <a:graphic xmlns:a="http://schemas.openxmlformats.org/drawingml/2006/main">
                        <a:graphicData uri="http://schemas.microsoft.com/office/word/2010/wordprocessingShape">
                          <wps:wsp>
                            <wps:cNvSpPr txBox="1"/>
                            <wps:spPr>
                              <a:xfrm>
                                <a:off x="0" y="0"/>
                                <a:ext cx="445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19710" cy="175260"/>
                      <wp:effectExtent l="0" t="0" r="0" b="0"/>
                      <wp:wrapNone/>
                      <wp:docPr id="307" name="Frame3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38125" cy="175260"/>
                      <wp:effectExtent l="0" t="0" r="0" b="0"/>
                      <wp:wrapNone/>
                      <wp:docPr id="308" name="Frame308"/>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47700" cy="175260"/>
                      <wp:effectExtent l="0" t="0" r="0" b="0"/>
                      <wp:wrapNone/>
                      <wp:docPr id="309" name="Frame309"/>
                      <a:graphic xmlns:a="http://schemas.openxmlformats.org/drawingml/2006/main">
                        <a:graphicData uri="http://schemas.microsoft.com/office/word/2010/wordprocessingShape">
                          <wps:wsp>
                            <wps:cNvSpPr txBox="1"/>
                            <wps:spPr>
                              <a:xfrm>
                                <a:off x="0" y="0"/>
                                <a:ext cx="647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19710" cy="175260"/>
                      <wp:effectExtent l="0" t="0" r="0" b="0"/>
                      <wp:wrapNone/>
                      <wp:docPr id="310" name="Frame3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166370" cy="175260"/>
                      <wp:effectExtent l="0" t="0" r="0" b="0"/>
                      <wp:wrapNone/>
                      <wp:docPr id="311" name="Frame311"/>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415290" cy="175260"/>
                      <wp:effectExtent l="0" t="0" r="0" b="0"/>
                      <wp:wrapNone/>
                      <wp:docPr id="312" name="Frame312"/>
                      <a:graphic xmlns:a="http://schemas.openxmlformats.org/drawingml/2006/main">
                        <a:graphicData uri="http://schemas.microsoft.com/office/word/2010/wordprocessingShape">
                          <wps:wsp>
                            <wps:cNvSpPr txBox="1"/>
                            <wps:spPr>
                              <a:xfrm>
                                <a:off x="0" y="0"/>
                                <a:ext cx="415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325"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Payments due by period</w:t>
            </w:r>
          </w:p>
        </w:tc>
      </w:tr>
      <w:tr>
        <w:trPr/>
        <w:tc>
          <w:tcPr>
            <w:tcW w:w="26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Less than</w:t>
            </w:r>
          </w:p>
        </w:tc>
        <w:tc>
          <w:tcPr>
            <w:tcW w:w="346" w:type="dxa"/>
            <w:tcBorders/>
            <w:vAlign w:val="center"/>
          </w:tcPr>
          <w:p>
            <w:pPr>
              <w:pStyle w:val="TableContents"/>
              <w:bidi w:val="0"/>
              <w:spacing w:before="0" w:after="1"/>
              <w:ind w:left="0" w:right="0" w:hanging="0"/>
              <w:jc w:val="left"/>
              <w:rPr/>
            </w:pPr>
            <w:r>
              <w:rPr/>
              <w:t>  ​ ​ ​</w:t>
            </w:r>
          </w:p>
        </w:tc>
        <w:tc>
          <w:tcPr>
            <w:tcW w:w="259" w:type="dxa"/>
            <w:tcBorders/>
            <w:vAlign w:val="center"/>
          </w:tcPr>
          <w:p>
            <w:pPr>
              <w:pStyle w:val="TableContents"/>
              <w:bidi w:val="0"/>
              <w:spacing w:before="0" w:after="1"/>
              <w:ind w:left="0" w:right="0" w:hanging="0"/>
              <w:jc w:val="center"/>
              <w:rPr/>
            </w:pPr>
            <w:r>
              <w:rPr/>
              <w:t>​</w:t>
            </w:r>
          </w:p>
        </w:tc>
        <w:tc>
          <w:tcPr>
            <w:tcW w:w="70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395"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9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More than</w:t>
            </w:r>
          </w:p>
        </w:tc>
      </w:tr>
      <w:tr>
        <w:trPr/>
        <w:tc>
          <w:tcPr>
            <w:tcW w:w="26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1 year</w:t>
            </w:r>
          </w:p>
        </w:tc>
        <w:tc>
          <w:tcPr>
            <w:tcW w:w="346" w:type="dxa"/>
            <w:tcBorders/>
            <w:vAlign w:val="center"/>
          </w:tcPr>
          <w:p>
            <w:pPr>
              <w:pStyle w:val="TableContents"/>
              <w:bidi w:val="0"/>
              <w:spacing w:before="0" w:after="1"/>
              <w:ind w:left="0" w:right="0" w:hanging="0"/>
              <w:jc w:val="left"/>
              <w:rPr/>
            </w:pPr>
            <w:r>
              <w:rPr/>
              <w:t>​</w:t>
            </w:r>
          </w:p>
        </w:tc>
        <w:tc>
          <w:tcPr>
            <w:tcW w:w="9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1 to 3 years</w:t>
            </w:r>
          </w:p>
        </w:tc>
        <w:tc>
          <w:tcPr>
            <w:tcW w:w="346" w:type="dxa"/>
            <w:tcBorders/>
            <w:vAlign w:val="center"/>
          </w:tcPr>
          <w:p>
            <w:pPr>
              <w:pStyle w:val="TableContents"/>
              <w:bidi w:val="0"/>
              <w:spacing w:before="0" w:after="1"/>
              <w:ind w:left="0" w:right="0" w:hanging="0"/>
              <w:jc w:val="left"/>
              <w:rPr/>
            </w:pPr>
            <w:r>
              <w:rPr/>
              <w:t>​</w:t>
            </w:r>
          </w:p>
        </w:tc>
        <w:tc>
          <w:tcPr>
            <w:tcW w:w="13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3 years to 5 years</w:t>
            </w:r>
          </w:p>
        </w:tc>
        <w:tc>
          <w:tcPr>
            <w:tcW w:w="346" w:type="dxa"/>
            <w:tcBorders/>
            <w:vAlign w:val="center"/>
          </w:tcPr>
          <w:p>
            <w:pPr>
              <w:pStyle w:val="TableContents"/>
              <w:bidi w:val="0"/>
              <w:spacing w:before="0" w:after="1"/>
              <w:ind w:left="0" w:right="0" w:hanging="0"/>
              <w:jc w:val="left"/>
              <w:rPr/>
            </w:pPr>
            <w:r>
              <w:rPr/>
              <w:t>​</w:t>
            </w:r>
          </w:p>
        </w:tc>
        <w:tc>
          <w:tcPr>
            <w:tcW w:w="9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5 years</w:t>
            </w:r>
          </w:p>
        </w:tc>
      </w:tr>
      <w:tr>
        <w:trPr/>
        <w:tc>
          <w:tcPr>
            <w:tcW w:w="9357" w:type="dxa"/>
            <w:gridSpan w:val="16"/>
            <w:tcBorders/>
            <w:vAlign w:val="center"/>
          </w:tcPr>
          <w:p>
            <w:pPr>
              <w:pStyle w:val="TableContents"/>
              <w:bidi w:val="0"/>
              <w:spacing w:before="0" w:after="283"/>
              <w:ind w:left="0" w:right="0" w:hanging="0"/>
              <w:jc w:val="left"/>
              <w:rPr>
                <w:sz w:val="4"/>
                <w:szCs w:val="4"/>
              </w:rPr>
            </w:pPr>
            <w:r>
              <w:rPr>
                <w:sz w:val="4"/>
                <w:szCs w:val="4"/>
              </w:rPr>
            </w:r>
          </w:p>
        </w:tc>
      </w:tr>
      <w:tr>
        <w:trPr/>
        <w:tc>
          <w:tcPr>
            <w:tcW w:w="26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325" w:type="dxa"/>
            <w:gridSpan w:val="1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68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Operating lease commitments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17,105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1,620</w:t>
            </w:r>
          </w:p>
        </w:tc>
        <w:tc>
          <w:tcPr>
            <w:tcW w:w="346"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7,609</w:t>
            </w:r>
          </w:p>
        </w:tc>
        <w:tc>
          <w:tcPr>
            <w:tcW w:w="34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7,198</w:t>
            </w:r>
          </w:p>
        </w:tc>
        <w:tc>
          <w:tcPr>
            <w:tcW w:w="34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678</w:t>
            </w:r>
          </w:p>
        </w:tc>
      </w:tr>
      <w:tr>
        <w:trPr/>
        <w:tc>
          <w:tcPr>
            <w:tcW w:w="268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Finance lease commitments</w:t>
            </w:r>
            <w:r>
              <w:rPr>
                <w:rFonts w:ascii="Times New Roman;Times;serif" w:hAnsi="Times New Roman;Times;serif"/>
                <w:sz w:val="15"/>
              </w:rPr>
              <w:t>(2)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w:t>
            </w:r>
          </w:p>
        </w:tc>
        <w:tc>
          <w:tcPr>
            <w:tcW w:w="346" w:type="dxa"/>
            <w:tcBorders/>
            <w:vAlign w:val="center"/>
          </w:tcPr>
          <w:p>
            <w:pPr>
              <w:pStyle w:val="TableContents"/>
              <w:bidi w:val="0"/>
              <w:spacing w:before="0" w:after="1"/>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0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540</w:t>
            </w:r>
          </w:p>
        </w:tc>
        <w:tc>
          <w:tcPr>
            <w:tcW w:w="346" w:type="dxa"/>
            <w:tcBorders/>
            <w:vAlign w:val="center"/>
          </w:tcPr>
          <w:p>
            <w:pPr>
              <w:pStyle w:val="TableContents"/>
              <w:bidi w:val="0"/>
              <w:spacing w:before="0" w:after="1"/>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2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w:t>
            </w:r>
          </w:p>
        </w:tc>
        <w:tc>
          <w:tcPr>
            <w:tcW w:w="346" w:type="dxa"/>
            <w:tcBorders/>
            <w:vAlign w:val="center"/>
          </w:tcPr>
          <w:p>
            <w:pPr>
              <w:pStyle w:val="TableContents"/>
              <w:bidi w:val="0"/>
              <w:spacing w:before="0" w:after="1"/>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5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17,982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1,890</w:t>
            </w:r>
          </w:p>
        </w:tc>
        <w:tc>
          <w:tcPr>
            <w:tcW w:w="346" w:type="dxa"/>
            <w:tcBorders/>
            <w:shd w:fill="CCEEFF" w:val="clear"/>
            <w:vAlign w:val="center"/>
          </w:tcPr>
          <w:p>
            <w:pPr>
              <w:pStyle w:val="TableContents"/>
              <w:bidi w:val="0"/>
              <w:spacing w:before="0" w:after="1"/>
              <w:ind w:left="0" w:right="0" w:hanging="0"/>
              <w:jc w:val="left"/>
              <w:rPr/>
            </w:pPr>
            <w:r>
              <w:rPr/>
              <w:t>​</w:t>
            </w:r>
          </w:p>
        </w:tc>
        <w:tc>
          <w:tcPr>
            <w:tcW w:w="25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8,149</w:t>
            </w:r>
          </w:p>
        </w:tc>
        <w:tc>
          <w:tcPr>
            <w:tcW w:w="346" w:type="dxa"/>
            <w:tcBorders/>
            <w:shd w:fill="CCEEFF" w:val="clear"/>
            <w:vAlign w:val="center"/>
          </w:tcPr>
          <w:p>
            <w:pPr>
              <w:pStyle w:val="TableContents"/>
              <w:bidi w:val="0"/>
              <w:spacing w:before="0" w:after="1"/>
              <w:ind w:left="0" w:right="0" w:hanging="0"/>
              <w:jc w:val="left"/>
              <w:rPr/>
            </w:pPr>
            <w:r>
              <w:rPr/>
              <w:t>​</w:t>
            </w:r>
          </w:p>
        </w:tc>
        <w:tc>
          <w:tcPr>
            <w:tcW w:w="37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7,265</w:t>
            </w:r>
          </w:p>
        </w:tc>
        <w:tc>
          <w:tcPr>
            <w:tcW w:w="346" w:type="dxa"/>
            <w:tcBorders/>
            <w:shd w:fill="CCEEFF" w:val="clear"/>
            <w:vAlign w:val="center"/>
          </w:tcPr>
          <w:p>
            <w:pPr>
              <w:pStyle w:val="TableContents"/>
              <w:bidi w:val="0"/>
              <w:spacing w:before="0" w:after="1"/>
              <w:ind w:left="0" w:right="0" w:hanging="0"/>
              <w:jc w:val="left"/>
              <w:rPr/>
            </w:pPr>
            <w:r>
              <w:rPr/>
              <w:t>​</w:t>
            </w:r>
          </w:p>
        </w:tc>
        <w:tc>
          <w:tcPr>
            <w:tcW w:w="26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4"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678</w:t>
            </w:r>
          </w:p>
        </w:tc>
      </w:tr>
    </w:tbl>
    <w:tbl>
      <w:tblPr>
        <w:tblW w:w="10205" w:type="dxa"/>
        <w:jc w:val="left"/>
        <w:tblInd w:w="0" w:type="dxa"/>
        <w:tblLayout w:type="fixed"/>
        <w:tblCellMar>
          <w:top w:w="28" w:type="dxa"/>
          <w:left w:w="28" w:type="dxa"/>
          <w:bottom w:w="28" w:type="dxa"/>
          <w:right w:w="28" w:type="dxa"/>
        </w:tblCellMar>
      </w:tblPr>
      <w:tblGrid>
        <w:gridCol w:w="124"/>
        <w:gridCol w:w="290"/>
        <w:gridCol w:w="9791"/>
      </w:tblGrid>
      <w:tr>
        <w:trPr/>
        <w:tc>
          <w:tcPr>
            <w:tcW w:w="124" w:type="dxa"/>
            <w:tcBorders/>
            <w:vAlign w:val="center"/>
          </w:tcPr>
          <w:p>
            <w:pPr>
              <w:pStyle w:val="TableContents"/>
              <w:bidi w:val="0"/>
              <w:spacing w:before="0" w:after="283"/>
              <w:jc w:val="left"/>
              <w:rPr>
                <w:sz w:val="4"/>
                <w:szCs w:val="4"/>
              </w:rPr>
            </w:pPr>
            <w:r>
              <w:rPr>
                <w:sz w:val="4"/>
                <w:szCs w:val="4"/>
              </w:rPr>
            </w:r>
          </w:p>
        </w:tc>
        <w:tc>
          <w:tcPr>
            <w:tcW w:w="29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Amounts reflect minimum payments due for our office and laboratory space leases. We have one office and laboratory lease in Cambridge, U.K. under an operating lease with a lease term through December 2031. We have one office and laboratory lease in Massachusetts, U.S. under an operating lease with a lease term through December 2027. </w:t>
            </w:r>
          </w:p>
        </w:tc>
      </w:tr>
    </w:tbl>
    <w:tbl>
      <w:tblPr>
        <w:tblW w:w="10205" w:type="dxa"/>
        <w:jc w:val="left"/>
        <w:tblInd w:w="0" w:type="dxa"/>
        <w:tblLayout w:type="fixed"/>
        <w:tblCellMar>
          <w:top w:w="28" w:type="dxa"/>
          <w:left w:w="28" w:type="dxa"/>
          <w:bottom w:w="28" w:type="dxa"/>
          <w:right w:w="28" w:type="dxa"/>
        </w:tblCellMar>
      </w:tblPr>
      <w:tblGrid>
        <w:gridCol w:w="124"/>
        <w:gridCol w:w="298"/>
        <w:gridCol w:w="9783"/>
      </w:tblGrid>
      <w:tr>
        <w:trPr/>
        <w:tc>
          <w:tcPr>
            <w:tcW w:w="124" w:type="dxa"/>
            <w:tcBorders/>
            <w:vAlign w:val="center"/>
          </w:tcPr>
          <w:p>
            <w:pPr>
              <w:pStyle w:val="TableContents"/>
              <w:bidi w:val="0"/>
              <w:spacing w:before="0" w:after="283"/>
              <w:jc w:val="left"/>
              <w:rPr>
                <w:sz w:val="4"/>
                <w:szCs w:val="4"/>
              </w:rPr>
            </w:pPr>
            <w:r>
              <w:rPr>
                <w:sz w:val="4"/>
                <w:szCs w:val="4"/>
              </w:rPr>
            </w:r>
          </w:p>
        </w:tc>
        <w:tc>
          <w:tcPr>
            <w:tcW w:w="29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783"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 xml:space="preserve">Amounts in the table above exclude payments related to an </w:t>
            </w:r>
            <w:r>
              <w:rPr>
                <w:rFonts w:ascii="Times New Roman;Times;serif" w:hAnsi="Times New Roman;Times;serif"/>
                <w:b w:val="false"/>
                <w:i w:val="false"/>
                <w:caps w:val="false"/>
                <w:smallCaps w:val="false"/>
                <w:sz w:val="20"/>
              </w:rPr>
              <w:t>agreement that contains a lease for property and equipment that has not yet commenced with a contractual period of two years and aggregate payments of approximately $5.2 million.</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In the ordinary course of business, we enter into various agreements with contract research organizations to provide clinical trial services, with contract manufacturing organizations to provide clinical trial materials, and with vendors for preclinical research studies, synthetic chemistry and other services for operating purposes. These payments are not included in the table above since the contracts are generally cancelable with advanced written notice, generally with a notice period of 90 days or less. From the time of notice until termination, we are contractually obligated to make certain minimum payments to the vendors, based on the timing of the notification and the exact terms of the agreement.</w:t>
      </w:r>
    </w:p>
    <w:p>
      <w:pPr>
        <w:pStyle w:val="TextBody"/>
        <w:pBd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have</w:t>
      </w:r>
      <w:r>
        <w:rPr>
          <w:rFonts w:ascii="Times New Roman;Times;serif" w:hAnsi="Times New Roman;Times;serif"/>
          <w:sz w:val="20"/>
          <w:shd w:fill="FFFFFF" w:val="clear"/>
        </w:rPr>
        <w:t xml:space="preserve"> also entered into separate agreements with third parties which provide for various future milestone payments upon the achievement of specified development, regulatory, commercial and sales-based milestones with an aggregate total value of $105.8 million, as well as potential future royalty and other payments at percentages ranging from very low to low single digits.</w:t>
      </w:r>
      <w:r>
        <w:rPr>
          <w:rFonts w:ascii="Times New Roman;Times;serif" w:hAnsi="Times New Roman;Times;serif"/>
          <w:sz w:val="20"/>
        </w:rPr>
        <w:t xml:space="preserve"> These additional milestone payments are contingent upon future events that are not considered probable of achievement as of June 30, 2026. As of June 30, 2026, we were unable to estimate the timing or likelihood of achieving these milestones.</w:t>
      </w:r>
    </w:p>
    <w:p>
      <w:pPr>
        <w:pStyle w:val="TextBody"/>
        <w:shd w:fill="FFFFFF" w:val="clear"/>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June 30, 2026, we had cash and cash equivalents of $510.1 million. We expect that our existing cash and cash equivalents will enable us to fund our operating expenses and capital expenditure requirements for at least 12 months from the date of filing of this Quarterly Report.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based our estimates on assumptions that may prove to be wrong, and we may use our available capital resources sooner than we currently expect. Because of the numerous risks and uncertainties associated with the development of product candidates and programs, and because the extent to which we may enter into collaborations with third parties for development of our product candidates is unknown, we are unable to estimate the timing and amounts of increased capital outlays and operating expenses associated with completing the research and development of our product candidates. Our future capital requirements will depend on many factors, including:</w:t>
      </w:r>
    </w:p>
    <w:tbl>
      <w:tblPr>
        <w:tblW w:w="9441" w:type="dxa"/>
        <w:jc w:val="left"/>
        <w:tblInd w:w="0" w:type="dxa"/>
        <w:tblLayout w:type="fixed"/>
        <w:tblCellMar>
          <w:top w:w="28" w:type="dxa"/>
          <w:left w:w="28" w:type="dxa"/>
          <w:bottom w:w="28" w:type="dxa"/>
          <w:right w:w="28" w:type="dxa"/>
        </w:tblCellMar>
      </w:tblPr>
      <w:tblGrid>
        <w:gridCol w:w="124"/>
        <w:gridCol w:w="256"/>
        <w:gridCol w:w="9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raise capital in light of the impacts of the unfavorable global economic and political conditions;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progress, results, and costs of drug discovery, preclinical development, laboratory testing, and clinical trials for the product candidates we may develop;</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enroll clinical trials in a timely manner and to quickly resolve any delays or clinical holds that may be imposed on our development programs;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associated with our manufacturing process development and evaluation of third-party manufacturers and suppliers;</w:t>
            </w:r>
          </w:p>
        </w:tc>
      </w:tr>
    </w:tbl>
    <w:tbl>
      <w:tblPr>
        <w:tblW w:w="6816" w:type="dxa"/>
        <w:jc w:val="left"/>
        <w:tblInd w:w="0" w:type="dxa"/>
        <w:tblLayout w:type="fixed"/>
        <w:tblCellMar>
          <w:top w:w="28" w:type="dxa"/>
          <w:left w:w="28" w:type="dxa"/>
          <w:bottom w:w="28" w:type="dxa"/>
          <w:right w:w="28" w:type="dxa"/>
        </w:tblCellMar>
      </w:tblPr>
      <w:tblGrid>
        <w:gridCol w:w="124"/>
        <w:gridCol w:w="256"/>
        <w:gridCol w:w="6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timing and outcome of regulatory review of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preparing and submitting marketing approvals for any of our product candidates that successfully complete clinical trials, and the costs of maintaining marketing authorization and related regulatory compliance for any products for which we obtain marketing approval;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preparing, filing, and prosecuting patent applications, maintaining and enforcing our intellectual property and proprietary rights, and defending intellectual property-related claims;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future activities, including product sales, medical affairs, marketing, manufacturing, and distribution, for any product candidates for which we receive marketing approval;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our current and any future license agreements and collaborations; and the extent to which we acquire or in-license other product candidates, technologies and intellectual property.</w:t>
            </w:r>
          </w:p>
        </w:tc>
      </w:tr>
    </w:tbl>
    <w:tbl>
      <w:tblPr>
        <w:tblW w:w="4701" w:type="dxa"/>
        <w:jc w:val="left"/>
        <w:tblInd w:w="0" w:type="dxa"/>
        <w:tblLayout w:type="fixed"/>
        <w:tblCellMar>
          <w:top w:w="28" w:type="dxa"/>
          <w:left w:w="28" w:type="dxa"/>
          <w:bottom w:w="28" w:type="dxa"/>
          <w:right w:w="28" w:type="dxa"/>
        </w:tblCellMar>
      </w:tblPr>
      <w:tblGrid>
        <w:gridCol w:w="124"/>
        <w:gridCol w:w="256"/>
        <w:gridCol w:w="43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ongoing or future collaborations;</w:t>
            </w:r>
          </w:p>
        </w:tc>
      </w:tr>
    </w:tbl>
    <w:tbl>
      <w:tblPr>
        <w:tblW w:w="8181" w:type="dxa"/>
        <w:jc w:val="left"/>
        <w:tblInd w:w="0" w:type="dxa"/>
        <w:tblLayout w:type="fixed"/>
        <w:tblCellMar>
          <w:top w:w="28" w:type="dxa"/>
          <w:left w:w="28" w:type="dxa"/>
          <w:bottom w:w="28" w:type="dxa"/>
          <w:right w:w="28" w:type="dxa"/>
        </w:tblCellMar>
      </w:tblPr>
      <w:tblGrid>
        <w:gridCol w:w="124"/>
        <w:gridCol w:w="256"/>
        <w:gridCol w:w="78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and maintain additional collaborations on favorable terms, if at all; and</w:t>
            </w:r>
          </w:p>
        </w:tc>
      </w:tr>
    </w:tbl>
    <w:tbl>
      <w:tblPr>
        <w:tblW w:w="4026" w:type="dxa"/>
        <w:jc w:val="left"/>
        <w:tblInd w:w="0" w:type="dxa"/>
        <w:tblLayout w:type="fixed"/>
        <w:tblCellMar>
          <w:top w:w="28" w:type="dxa"/>
          <w:left w:w="28" w:type="dxa"/>
          <w:bottom w:w="28" w:type="dxa"/>
          <w:right w:w="28" w:type="dxa"/>
        </w:tblCellMar>
      </w:tblPr>
      <w:tblGrid>
        <w:gridCol w:w="124"/>
        <w:gridCol w:w="256"/>
        <w:gridCol w:w="3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operating as a public company.</w:t>
            </w:r>
          </w:p>
        </w:tc>
      </w:tr>
    </w:tbl>
    <w:p>
      <w:pPr>
        <w:pStyle w:val="TextBody"/>
        <w:pBd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Until such time, if ever, that we can generate product revenue sufficient to achieve profitability, we expect to finance our cash needs through a combination of equity offerings, debt financings, collaborations, monetization transactions, government contracts or other strategic transactions. To the extent that we raise additional capital through the sale of equity, ownership interests of existing holders of our ADSs and ordinary shares will be diluted, and the terms of these securities may include liquidation or other preferences that adversely affect the rights of holders of our ADSs or ordinary shares. If we raise additional funds through collaboration agreements, strategic alliances, licensing arrangements, monetization transactions, or marketing and distribution arrangements, we may have to relinquish valuable rights to our technologies, future revenue streams, research programs or product candidates or grant licenses on terms that may not be favorable to us or grant rights to develop and market products or product candidates that we would otherwise prefer to develop and market ourselves. Future debt financing, if available, may involve covenants restricting our operations or our ability to incur additional debt. Any debt or equity financing that we raise may contain terms that are not favorable to us or our shareholders.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Global trade disruption, volatility in the capital markets and continued uncertainty may contribute to a general global economic slowdown or recession. Inflationary factors, such as increases in the cost of our clinical trial materials and supplies, interest rates and overhead costs may adversely affect our operating results. In addition, current or future tariffs or other trade barriers may result in increased research and development expenses, including with respect to increased costs associated with active pharmaceutical ingredients, raw materials, laboratory equipment and research materials and components. High interest rates also present a recent challenge impacting the U.S. economy and could make it more difficult for us to obtain traditional financing on acceptable terms, if at all, in the future. Furthermore, such economic conditions have produced downward pressure on share prices. Although we do not believe that inflation has had a material impact on our financial position or results of operations to date, in the future increased inflation rates and macroeconomic turmoil may adversely affect us by increasing our costs and the costs of our CMOs and other suppliers. In addition, our labor and research and development costs may increase due to supply chain constraints, consequences associated with geopolitical conflicts, wars, worsening global macroeconomic conditions, including those resulting from changes in global trade policies, or other factors, which may result in additional stress on our working capital resources. If we are unable to raise capital when needed or on attractive terms, we would be forced to delay, reduce, or eliminate our research and development programs or future commercialization efforts.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Our management’s discussion and analysis of financial condition and results of operations is based on our condensed consolidated financial statements, which have been prepared in accordance with U.S. GAAP. The preparation of our condensed consolidated financial statements and related disclosures requires us to make estimates, assumptions and judgments that affect the reported amounts of assets, liabilities, revenue, costs and expenses, and related disclosures.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w:t>
      </w:r>
    </w:p>
    <w:p>
      <w:pPr>
        <w:pStyle w:val="TextBody"/>
        <w:bidi w:val="0"/>
        <w:spacing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Our critical accounting policies are described under the heading “Management’s Discussion and Analysis of Financial Condition and Results of Operations—Critical Accounting Estimates” in our 2025 Annual Report, which was filed with the SEC on March 17, 2026. If actual results or events differ materially from the estimates, judgments and assumptions used by us in applying these policies, our reported financial condition and results of operations could be materially affected. Other than as disclosed in Note 2 to the condensed consolidated financial statements included in this Quarterly Report, there have been no significant changes to our critical accounting estimates from those described in our 2025 Annual Report.</w:t>
      </w:r>
    </w:p>
    <w:p>
      <w:pPr>
        <w:pStyle w:val="TextBody"/>
        <w:bidi w:val="0"/>
        <w:spacing w:before="0" w:after="240"/>
        <w:ind w:left="0" w:right="0" w:hanging="0"/>
        <w:jc w:val="left"/>
        <w:rPr>
          <w:rFonts w:ascii="Times New Roman;Times;serif" w:hAnsi="Times New Roman;Times;serif"/>
          <w:b/>
          <w:sz w:val="20"/>
        </w:rPr>
      </w:pPr>
      <w:bookmarkStart w:id="996" w:name="Item3QuantitativeandQualitative_648871"/>
      <w:bookmarkStart w:id="997" w:name="_11b1f786_9d7b_4958_8187_52c63ad78c58"/>
      <w:bookmarkEnd w:id="996"/>
      <w:bookmarkEnd w:id="997"/>
      <w:r>
        <w:rPr>
          <w:rFonts w:ascii="Times New Roman;Times;serif" w:hAnsi="Times New Roman;Times;serif"/>
          <w:b/>
          <w:sz w:val="20"/>
        </w:rPr>
        <w:t>Item 3.  Quantitative and Qualitative Disclosure About Market Risk</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Interest Rate Sensitivity</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of June 30, 2026, we had cash and cash equivalents of $510.1 million. Our exposure to interest rate sensitivity is impacted by changes in the underlying U.K. and U.S. bank interest and treasury rates. Our surplus cash has been invested in money market funds that invest primarily in short-term highly liquid securities that maintain a stable net asset value. We have not entered into investments for trading or speculative purposes. Due to the conservative nature of our investment portfolio, which is predicated on capital preservation of investments with short-term maturities, we do not believe an immediate one percentage point change in interest rates would have a material effect on the fair market value of our portfolio. Our earnings would be affected by changes in interest rates due to the impact those changes have on interest income generated from our cash and cash equivalents. We believe we have minimal interest rate risk as a one percentage point change in the average interest rate on our portfolio would not have a material effect on our condensed consolidated statements of operations and comprehensive loss for the three and six months ended June 30, 2026. </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Foreign Currency Exchange Risk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functional currency is the currency of the primary economic environment in which an entity’s operations are conducted. The functional currency of Bicycle Therapeutics plc and Bicycle Therapeutics Inc. is the United States Dollar, or USD. The functional currency of Bicycle Therapeutics plc’s wholly owned non-U.S. subsidiaries, BicycleTx Limited and BicycleRD Limited, is the British Pound Sterling, and the condensed consolidated financial statements are presented in USD. The functional currency of our subsidiaries is the same as the local currency.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Monetary assets and liabilities denominated in currencies other than the functional currency are remeasured into the functional currency at rates of exchange prevailing at the balance sheet dates. Non-monetary assets and liabilities denominated in foreign currencies are remeasured into the functional currency at the exchange rates prevailing at the date of the transaction. Exchange gains or losses arising from foreign currency transactions are included in the determination of net loss for the respective periods. Adjustments that arise from exchange rate changes on transactions denominated in a currency other than the local currency are included in general and administrative expenses in the condensed consolidated statements of operations and comprehensive loss as incurred. We recorded foreign exchange gains of $0.1 million and $0.2 million for the three and six months ended June 30, 2026 and foreign exchange gains of $0.7 million and $0.5 million for the three and six months ended June 30, 2025.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financial reporting purposes, our condensed consolidated financial statements have been translated into USD. We translate the assets and liabilities of BicycleTx Limited and BicycleRD Limited into USD at the exchange rate in effect on the balance sheet date. Revenues and expenses are translated at the average exchange rate in effect during the period and shareholders’ equity amounts are translated based on historical exchange rates as of the date of each transaction. Translation adjustments are not included in determining net loss but are included in our foreign exchange adjustment included in the condensed consolidated statements of shareholders’ equity as a component of accumulated other comprehensive income (loss).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do not currently engage in currency hedging activities in order to reduce our currency exposure, but we may begin to do so in the future.</w:t>
      </w:r>
    </w:p>
    <w:p>
      <w:pPr>
        <w:pStyle w:val="TextBody"/>
        <w:bidi w:val="0"/>
        <w:spacing w:before="0" w:after="240"/>
        <w:ind w:left="0" w:right="0" w:hanging="0"/>
        <w:jc w:val="left"/>
        <w:rPr>
          <w:rFonts w:ascii="Times New Roman;Times;serif" w:hAnsi="Times New Roman;Times;serif"/>
          <w:b/>
          <w:sz w:val="20"/>
        </w:rPr>
      </w:pPr>
      <w:bookmarkStart w:id="998" w:name="Item4ControlsandProcedures_218376"/>
      <w:bookmarkStart w:id="999" w:name="_004e8fc4_489f_4dd7_92e1_dcd8edcae964"/>
      <w:bookmarkEnd w:id="998"/>
      <w:bookmarkEnd w:id="999"/>
      <w:r>
        <w:rPr>
          <w:rFonts w:ascii="Times New Roman;Times;serif" w:hAnsi="Times New Roman;Times;serif"/>
          <w:b/>
          <w:sz w:val="20"/>
        </w:rPr>
        <w:t>Item 4.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As required by Rule 13a-15(d) of the Exchange Act, our management, including our principal executive officer and our principal financial officer, conducted an evaluation of the internal control over financial reporting to determine whether any changes occurred during the period covered by this Quarterly Report that have materially affected, or are reasonably likely to materially affect, our internal control over financial reporting. Based on the evaluation of our disclosure controls and procedures at </w:t>
      </w:r>
      <w:r>
        <w:rPr>
          <w:rFonts w:ascii="Times New Roman;Times;serif" w:hAnsi="Times New Roman;Times;serif"/>
          <w:sz w:val="20"/>
        </w:rPr>
        <w:t>June 30, 2026</w:t>
      </w:r>
      <w:r>
        <w:rPr>
          <w:rFonts w:ascii="Times New Roman;Times;serif" w:hAnsi="Times New Roman;Times;serif"/>
          <w:sz w:val="20"/>
          <w:shd w:fill="FFFFFF" w:val="clear"/>
        </w:rPr>
        <w:t>, our Chief Executive Officer and Chief Financial Officer concluded that, as of such date, our disclosure controls and procedures were effective at the reasonable assurance level.</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There were no changes in our internal control over financial reporting identified in connection with the evaluation required by Rule 13a-15(d) and 15d-15(d) of the Exchange Act that occurred during the quarter ended June 30, 2026 that have materially affected, or are reasonably likely to materially affect, our internal control over financial reporting.</w:t>
      </w:r>
    </w:p>
    <w:p>
      <w:pPr>
        <w:pStyle w:val="TextBody"/>
        <w:bidi w:val="0"/>
        <w:spacing w:before="0" w:after="240"/>
        <w:ind w:left="0" w:right="0" w:firstLine="720"/>
        <w:jc w:val="left"/>
        <w:rPr/>
      </w:pPr>
      <w:r>
        <w:rPr/>
        <w:t>​</w:t>
      </w:r>
    </w:p>
    <w:p>
      <w:pPr>
        <w:pStyle w:val="TextBody"/>
        <w:bidi w:val="0"/>
        <w:spacing w:before="0" w:after="240"/>
        <w:ind w:left="0" w:right="0" w:hanging="0"/>
        <w:jc w:val="center"/>
        <w:rPr>
          <w:rFonts w:ascii="Times New Roman;Times;serif" w:hAnsi="Times New Roman;Times;serif"/>
          <w:b/>
          <w:sz w:val="20"/>
        </w:rPr>
      </w:pPr>
      <w:bookmarkStart w:id="1000" w:name="PARTIIOTHERINFORMATION_491351"/>
      <w:bookmarkStart w:id="1001" w:name="_ec572156_5743_4683_ac5d_03f09e09589f"/>
      <w:bookmarkEnd w:id="1000"/>
      <w:bookmarkEnd w:id="1001"/>
      <w:r>
        <w:rPr>
          <w:rFonts w:ascii="Times New Roman;Times;serif" w:hAnsi="Times New Roman;Times;serif"/>
          <w:b/>
          <w:sz w:val="20"/>
        </w:rPr>
        <w:t>PART II - OTHER INFORMATION</w:t>
      </w:r>
    </w:p>
    <w:p>
      <w:pPr>
        <w:pStyle w:val="TextBody"/>
        <w:bidi w:val="0"/>
        <w:spacing w:before="0" w:after="240"/>
        <w:ind w:left="0" w:right="0" w:hanging="0"/>
        <w:jc w:val="left"/>
        <w:rPr>
          <w:rFonts w:ascii="Times New Roman;Times;serif" w:hAnsi="Times New Roman;Times;serif"/>
          <w:b/>
          <w:sz w:val="20"/>
        </w:rPr>
      </w:pPr>
      <w:bookmarkStart w:id="1002" w:name="Item1LegalProceedings_274094"/>
      <w:bookmarkEnd w:id="1002"/>
      <w:r>
        <w:rPr>
          <w:rFonts w:ascii="Times New Roman;Times;serif" w:hAnsi="Times New Roman;Times;serif"/>
          <w:b/>
          <w:sz w:val="20"/>
        </w:rPr>
        <w:t>Item 1.  Legal Proceedings.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From time to time, we may become involved in various legal proceedings and claims, either asserted or unasserted, which arise in the ordinary course of business. We are not currently subject to any material legal proceedings.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003" w:name="Item1ARiskFactors__090955"/>
      <w:bookmarkStart w:id="1004" w:name="_2200f6e2_c5ae_40cf_99d3_937db1af4f72"/>
      <w:bookmarkEnd w:id="1003"/>
      <w:bookmarkEnd w:id="1004"/>
      <w:r>
        <w:rPr>
          <w:rFonts w:ascii="Times New Roman;Times;serif" w:hAnsi="Times New Roman;Times;serif"/>
          <w:b/>
          <w:sz w:val="20"/>
        </w:rPr>
        <w:t>Item 1A.</w:t>
      </w:r>
      <w:r>
        <w:rPr>
          <w:rFonts w:ascii="Times New Roman;Times;serif" w:hAnsi="Times New Roman;Times;serif"/>
          <w:sz w:val="20"/>
        </w:rPr>
        <w:t xml:space="preserve"> </w:t>
      </w:r>
      <w:r>
        <w:rPr>
          <w:rFonts w:ascii="Times New Roman;Times;serif" w:hAnsi="Times New Roman;Times;serif"/>
          <w:b/>
          <w:sz w:val="20"/>
        </w:rPr>
        <w:t>Risk Factors</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Our operations and financial results are subject to various risks and uncertainties, including those described below. The following information about these risks and uncertainties, together with the other information appearing elsewhere in this Quarterly Report, and our 2025 Annual Report on Form 10-K, filed with the Securities and Exchange Commission, or SEC, on March 17, 2026, including our consolidated financial statements and related notes thereto, should be carefully considered before a decision to invest in our American Depositary Shares, or ADSs. The occurrence of any of the following risks could have a material adverse effect on our business, financial condition, results of operations and future growth prospects or cause our actual results to differ materially from those contained in forward-looking statements we have made in this report and those we may make from time to time. Additional risks that are currently unknown to us or that we currently believe to be immaterial may also impair our business. In these circumstances, the market price of our ADSs could decline and holders of our ADSs may lose all or part of their investment. We cannot provide assurance that any of the events discussed below will not occur.</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sz w:val="20"/>
        </w:rPr>
      </w:pPr>
      <w:bookmarkStart w:id="1005" w:name="RISKFACTORSUMMARY_34176"/>
      <w:bookmarkEnd w:id="1005"/>
      <w:r>
        <w:rPr>
          <w:rFonts w:ascii="Times New Roman;Times;serif" w:hAnsi="Times New Roman;Times;serif"/>
          <w:b/>
          <w:sz w:val="20"/>
        </w:rPr>
        <w:t>Summary of Selected Risk Factors</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sz w:val="20"/>
        </w:rPr>
        <w:t>Our business is subject to numerous risks and uncertainties, of which you should be aware before making a decision to invest in our ADSs. These risks and uncertainties include, among others, the following:</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history of significant operating losses and expect to incur significant and increasing losses for the foreseeable future, and we may never achieve or maintain profitability.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need substantial additional funding, and if we are unable to raise capital when needed, we could be forced to delay, reduce or eliminate our product discovery and development programs or commercialization efforts.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Raising additional capital may cause dilution to our existing shareholders or holders of our ADSs, restrict our operations or cause us to relinquish valuable rights.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We are substantially dependent on the success of our internal development programs and of our product candidates from our Bicycle</w:t>
            </w:r>
            <w:r>
              <w:rPr>
                <w:rFonts w:ascii="Times New Roman;Times;serif" w:hAnsi="Times New Roman;Times;serif"/>
                <w:b w:val="false"/>
                <w:i w:val="false"/>
                <w:caps w:val="false"/>
                <w:smallCaps w:val="false"/>
                <w:sz w:val="15"/>
              </w:rPr>
              <w:t>®</w:t>
            </w:r>
            <w:r>
              <w:rPr>
                <w:caps w:val="false"/>
                <w:smallCaps w:val="false"/>
              </w:rPr>
              <w:t xml:space="preserve"> </w:t>
            </w:r>
            <w:r>
              <w:rPr>
                <w:rFonts w:ascii="Times New Roman;Times;serif" w:hAnsi="Times New Roman;Times;serif"/>
                <w:b w:val="false"/>
                <w:i w:val="false"/>
                <w:caps w:val="false"/>
                <w:smallCaps w:val="false"/>
                <w:sz w:val="20"/>
              </w:rPr>
              <w:t>Drug Conjugate, or BDC</w:t>
            </w:r>
            <w:r>
              <w:rPr>
                <w:rFonts w:ascii="Times New Roman;Times;serif" w:hAnsi="Times New Roman;Times;serif"/>
                <w:b w:val="false"/>
                <w:i w:val="false"/>
                <w:caps w:val="false"/>
                <w:smallCaps w:val="false"/>
                <w:sz w:val="15"/>
              </w:rPr>
              <w:t>®</w:t>
            </w:r>
            <w:r>
              <w:rPr>
                <w:rFonts w:ascii="Times New Roman;Times;serif" w:hAnsi="Times New Roman;Times;serif"/>
                <w:b w:val="false"/>
                <w:i w:val="false"/>
                <w:caps w:val="false"/>
                <w:smallCaps w:val="false"/>
                <w:sz w:val="20"/>
              </w:rPr>
              <w:t>, and Bicycle Radioconjugate, or BRC</w:t>
            </w:r>
            <w:r>
              <w:rPr>
                <w:rFonts w:ascii="Times New Roman;Times;serif" w:hAnsi="Times New Roman;Times;serif"/>
                <w:b w:val="false"/>
                <w:i w:val="false"/>
                <w:caps w:val="false"/>
                <w:smallCaps w:val="false"/>
                <w:sz w:val="15"/>
              </w:rPr>
              <w:t>®</w:t>
            </w:r>
            <w:r>
              <w:rPr>
                <w:rFonts w:ascii="Times New Roman;Times;serif" w:hAnsi="Times New Roman;Times;serif"/>
                <w:b w:val="false"/>
                <w:i w:val="false"/>
                <w:caps w:val="false"/>
                <w:smallCaps w:val="false"/>
                <w:sz w:val="20"/>
              </w:rPr>
              <w:t>, programs, which may not successfully complete clinical trials, receive regulatory approval or be successfully commercialized.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at an early stage in our development efforts, and our product candidates and those of our collaborators represent a new category of medicines and may be subject to heightened regulatory scrutiny until they are established as a therapeutic modality.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find it difficult to enroll patients in our clinical trials, which could delay or prevent us from proceeding with clinical trials of our product candidates.</w:t>
            </w:r>
          </w:p>
        </w:tc>
      </w:tr>
    </w:tbl>
    <w:tbl>
      <w:tblPr>
        <w:tblW w:w="9261" w:type="dxa"/>
        <w:jc w:val="left"/>
        <w:tblInd w:w="0" w:type="dxa"/>
        <w:tblLayout w:type="fixed"/>
        <w:tblCellMar>
          <w:top w:w="28" w:type="dxa"/>
          <w:left w:w="28" w:type="dxa"/>
          <w:bottom w:w="28" w:type="dxa"/>
          <w:right w:w="28" w:type="dxa"/>
        </w:tblCellMar>
      </w:tblPr>
      <w:tblGrid>
        <w:gridCol w:w="124"/>
        <w:gridCol w:w="256"/>
        <w:gridCol w:w="88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Results of preclinical studies and early clinical trials may not be predictive of results of future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or future product candidates may cause undesirable side effects or have other properties when used alone or in combination with other approved products or investigational new drugs, or IND, that could halt their clinical development, prevent their marketing approval, limit their commercial potential or result in significant negative consequences.</w:t>
            </w:r>
          </w:p>
        </w:tc>
      </w:tr>
    </w:tbl>
    <w:tbl>
      <w:tblPr>
        <w:tblW w:w="9201" w:type="dxa"/>
        <w:jc w:val="left"/>
        <w:tblInd w:w="0" w:type="dxa"/>
        <w:tblLayout w:type="fixed"/>
        <w:tblCellMar>
          <w:top w:w="28" w:type="dxa"/>
          <w:left w:w="28" w:type="dxa"/>
          <w:bottom w:w="28" w:type="dxa"/>
          <w:right w:w="28" w:type="dxa"/>
        </w:tblCellMar>
      </w:tblPr>
      <w:tblGrid>
        <w:gridCol w:w="124"/>
        <w:gridCol w:w="256"/>
        <w:gridCol w:w="88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delayed or not be successful in our efforts to identify or discover additional product candidates.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expend our limited resources to pursue a particular development strategy, product candidate or indication and fail to capitalize on strategies, product candidates or indications that may be more profitable or for which there is a greater likelihood of success.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seek designations for our product candidates with the U.S. Food and Drug Administration, or FDA, and other comparable regulatory authorities that are intended to confer benefits such as a faster development process or an accelerated regulatory pathway, but there can be no assurance that we will successfully obtain such designations. In addition, even if one or more of our product candidates are granted such designations, we may not be able to realize the intended benefits of such designations.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complete the necessary preclinical studies and clinical trials, the marketing approval process is expensive, time consuming and uncertain and may prevent us or any collaborators from obtaining approvals for the commercialization of some or all of our product candidates. As a result, we cannot predict when or if, and in which territories, we, or any collaborators, will obtain marketing approval to commercialize a product candidate.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opportunities for any current or future product candidate we develop, if and when approved, may be limited to those patients who are ineligible for established therapies or for whom prior therapies have failed, and may be small.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receive marketing approval of a product candidate, we will be subject to ongoing regulatory obligations and continued regulatory review, which may result in significant additional expense, and we may be subject to penalties if we fail to comply with regulatory requirements or experience unanticipated problems with our products, if approved.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significant competition and if our competitors develop and market products that are more effective, safer or less expensive than the product candidates we develop, our commercial opportunities will be negatively impacted.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commercial success of any current or future product candidate will depend upon the degree of market acceptance by physicians, patients, payors and others in the medical community.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insurance coverage and reimbursement status of newly approved products is uncertain. Failure to obtain or maintain adequate coverage and reimbursement for any of our product candidates could limit our ability to market those products and decrease our ability to generate revenue.</w:t>
            </w:r>
          </w:p>
        </w:tc>
      </w:tr>
    </w:tbl>
    <w:tbl>
      <w:tblPr>
        <w:tblW w:w="9336" w:type="dxa"/>
        <w:jc w:val="left"/>
        <w:tblInd w:w="0" w:type="dxa"/>
        <w:tblLayout w:type="fixed"/>
        <w:tblCellMar>
          <w:top w:w="28" w:type="dxa"/>
          <w:left w:w="28" w:type="dxa"/>
          <w:bottom w:w="28" w:type="dxa"/>
          <w:right w:w="28" w:type="dxa"/>
        </w:tblCellMar>
      </w:tblPr>
      <w:tblGrid>
        <w:gridCol w:w="124"/>
        <w:gridCol w:w="256"/>
        <w:gridCol w:w="89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Healthcare legislative reform measures may have a negative impact on our business and results of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third parties with whom we work are subject to stringent and evolving U.S. and foreign laws, regulations, rules, contractual obligations, policies and other obligations related to data privacy and security. Our (and third parties with whom we work) actual or perceived failure to comply with such obligations could lead to regulatory investigations or actions, litigation, fines and penalties, disruptions of our business operations, reputational harm, loss of revenue or profits, and other adverse business consequences.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third parties, including independent clinical investigators and CROs to conduct and sponsor some of the clinical trials of our product candidates. Any failure by a third party to meet its obligations with respect to the clinical development of our product candidates may delay or impair our ability to obtain regulatory approval for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 xml:space="preserve">We intend to rely on third parties to manufacture product candidates and supply raw materials used in our product candidates, such as </w:t>
            </w:r>
            <w:r>
              <w:rPr>
                <w:rFonts w:ascii="Times New Roman;Times;serif" w:hAnsi="Times New Roman;Times;serif"/>
                <w:b w:val="false"/>
                <w:i w:val="false"/>
                <w:caps w:val="false"/>
                <w:smallCaps w:val="false"/>
                <w:sz w:val="15"/>
              </w:rPr>
              <w:t>212</w:t>
            </w:r>
            <w:r>
              <w:rPr>
                <w:rFonts w:ascii="Times New Roman;Times;serif" w:hAnsi="Times New Roman;Times;serif"/>
                <w:b w:val="false"/>
                <w:i w:val="false"/>
                <w:caps w:val="false"/>
                <w:smallCaps w:val="false"/>
                <w:sz w:val="20"/>
              </w:rPr>
              <w:t xml:space="preserve">Pb, which increases the risk that we will not have sufficient quantities of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product candidates or products or such quantities at an acceptable cost, which could delay, prevent or impair our development or commercialization efforts.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obtain and maintain patent and other intellectual property protection for our products and product candidates, or if the scope of the patent and other intellectual property protection obtained is not sufficiently broad, our competitors could develop and commercialize products similar or identical to ours, and our ability to successfully commercialize our products and product candidates may be adversely affected.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sued for infringing intellectual property rights of third parties, such litigation could be costly and time consuming and could prevent or delay us from developing or commercializing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recent workforce reductions were undertaken to significantly reduce our ongoing operating expenses, but they may not result in our intended outcomes and may yield unintended consequences and additional costs.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ADSs is highly volatile, and holders of our ADSs may not be able to resell their ADSs at or above the price at which they purchased their ADSs.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company with operations outside of the United States, we are subject to economic, political, regulatory and other risks associated with international operations.</w:t>
            </w:r>
          </w:p>
        </w:tc>
      </w:tr>
    </w:tbl>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Risks Related to Our Financial Position and Need for Additional Capital</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We have a history of significant operating losses and expect to incur significant and increasing losses for the foreseeable future</w:t>
      </w:r>
      <w:r>
        <w:rPr>
          <w:rFonts w:ascii="Times New Roman;Times;serif" w:hAnsi="Times New Roman;Times;serif"/>
          <w:i/>
          <w:sz w:val="20"/>
        </w:rPr>
        <w:t xml:space="preserve">, </w:t>
      </w:r>
      <w:r>
        <w:rPr>
          <w:rFonts w:ascii="Times New Roman;Times;serif" w:hAnsi="Times New Roman;Times;serif"/>
          <w:b/>
          <w:i/>
          <w:sz w:val="20"/>
        </w:rPr>
        <w:t>and we may never achieve or maintain profitability</w:t>
      </w:r>
      <w:r>
        <w:rPr>
          <w:rFonts w:ascii="Times New Roman;Times;serif" w:hAnsi="Times New Roman;Times;serif"/>
          <w:i/>
          <w:sz w:val="20"/>
        </w:rPr>
        <w: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do not expect to generate revenue or profitability that is necessary to finance our operations in the short term. Since inception, we have incurred recurring losses, including net losses of $111.2 million and $139.7 million for the six months ended June 30, 2026 and 2025, respectively. As of June 30, 2026, we had an accumulated deficit of $1.0 billion. To date, we have not commercialized any products or generated any revenues from the sale of products, and absent the realization of sufficient revenues from product sales, we may never attain profitability in the future. We have devoted substantially all of our financial resources and efforts to research and development, including preclinical studies and our clinical trials. Our net losses may fluctuate significantly from quarter to quarter and year to year. </w:t>
      </w:r>
      <w:r>
        <w:rPr>
          <w:rFonts w:ascii="Times New Roman;Times;serif" w:hAnsi="Times New Roman;Times;serif"/>
          <w:sz w:val="20"/>
          <w:shd w:fill="FFFFFF" w:val="clear"/>
        </w:rPr>
        <w:t>Net losses and negative cash flows have had, and will continue to have, an adverse effect on our shareholders’ equity and working capital.</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anticipate that our expenses will increase substantially if and as we:</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continue to develop and conduct clinical trials with respect to our BDC and BRC</w:t>
            </w:r>
            <w:r>
              <w:rPr>
                <w:caps w:val="false"/>
                <w:smallCaps w:val="false"/>
              </w:rPr>
              <w:t xml:space="preserve"> </w:t>
            </w:r>
            <w:r>
              <w:rPr>
                <w:rFonts w:ascii="Times New Roman;Times;serif" w:hAnsi="Times New Roman;Times;serif"/>
                <w:b w:val="false"/>
                <w:i w:val="false"/>
                <w:caps w:val="false"/>
                <w:smallCaps w:val="false"/>
                <w:sz w:val="20"/>
              </w:rPr>
              <w:t>programs and our other pipeline programs;</w:t>
            </w:r>
          </w:p>
        </w:tc>
      </w:tr>
    </w:tbl>
    <w:p>
      <w:pPr>
        <w:pStyle w:val="TextBody"/>
        <w:bidi w:val="0"/>
        <w:spacing w:before="0" w:after="0"/>
        <w:ind w:left="360" w:right="0" w:hanging="0"/>
        <w:jc w:val="left"/>
        <w:rPr/>
      </w:pPr>
      <w:r>
        <w:rPr/>
        <w:t>​</w:t>
      </w:r>
    </w:p>
    <w:tbl>
      <w:tblPr>
        <w:tblW w:w="9351" w:type="dxa"/>
        <w:jc w:val="left"/>
        <w:tblInd w:w="0" w:type="dxa"/>
        <w:tblLayout w:type="fixed"/>
        <w:tblCellMar>
          <w:top w:w="28" w:type="dxa"/>
          <w:left w:w="28" w:type="dxa"/>
          <w:bottom w:w="28" w:type="dxa"/>
          <w:right w:w="28" w:type="dxa"/>
        </w:tblCellMar>
      </w:tblPr>
      <w:tblGrid>
        <w:gridCol w:w="124"/>
        <w:gridCol w:w="256"/>
        <w:gridCol w:w="89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initiate and continue research, preclinical and clinical development efforts for any future product candidates;</w:t>
            </w:r>
          </w:p>
        </w:tc>
      </w:tr>
    </w:tbl>
    <w:p>
      <w:pPr>
        <w:pStyle w:val="TextBody"/>
        <w:bidi w:val="0"/>
        <w:spacing w:before="0" w:after="0"/>
        <w:ind w:left="360" w:right="0" w:hanging="0"/>
        <w:jc w:val="left"/>
        <w:rPr/>
      </w:pPr>
      <w:r>
        <w:rPr/>
        <w:t>​</w:t>
      </w:r>
    </w:p>
    <w:tbl>
      <w:tblPr>
        <w:tblW w:w="9366" w:type="dxa"/>
        <w:jc w:val="left"/>
        <w:tblInd w:w="0" w:type="dxa"/>
        <w:tblLayout w:type="fixed"/>
        <w:tblCellMar>
          <w:top w:w="28" w:type="dxa"/>
          <w:left w:w="28" w:type="dxa"/>
          <w:bottom w:w="28" w:type="dxa"/>
          <w:right w:w="28" w:type="dxa"/>
        </w:tblCellMar>
      </w:tblPr>
      <w:tblGrid>
        <w:gridCol w:w="124"/>
        <w:gridCol w:w="256"/>
        <w:gridCol w:w="8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 to discover and develop additional product candidates and further expand our clinical product pipeline;</w:t>
            </w:r>
          </w:p>
        </w:tc>
      </w:tr>
    </w:tbl>
    <w:p>
      <w:pPr>
        <w:pStyle w:val="TextBody"/>
        <w:bidi w:val="0"/>
        <w:spacing w:before="0" w:after="0"/>
        <w:ind w:left="360" w:right="0" w:hanging="0"/>
        <w:jc w:val="left"/>
        <w:rPr/>
      </w:pPr>
      <w:r>
        <w:rPr/>
        <w:t>​</w:t>
      </w:r>
    </w:p>
    <w:tbl>
      <w:tblPr>
        <w:tblW w:w="9396" w:type="dxa"/>
        <w:jc w:val="left"/>
        <w:tblInd w:w="0" w:type="dxa"/>
        <w:tblLayout w:type="fixed"/>
        <w:tblCellMar>
          <w:top w:w="28" w:type="dxa"/>
          <w:left w:w="28" w:type="dxa"/>
          <w:bottom w:w="28" w:type="dxa"/>
          <w:right w:w="28" w:type="dxa"/>
        </w:tblCellMar>
      </w:tblPr>
      <w:tblGrid>
        <w:gridCol w:w="124"/>
        <w:gridCol w:w="256"/>
        <w:gridCol w:w="9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 marketing and regulatory approvals for any product candidates that successfully complete clinical trials;</w:t>
            </w:r>
          </w:p>
        </w:tc>
      </w:tr>
    </w:tbl>
    <w:p>
      <w:pPr>
        <w:pStyle w:val="TextBody"/>
        <w:bidi w:val="0"/>
        <w:spacing w:before="0" w:after="0"/>
        <w:ind w:left="36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the manufacture of larger quantities of product candidates for clinical development and, potentially, commercialization;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360" w:right="0" w:hanging="0"/>
        <w:jc w:val="left"/>
        <w:rPr/>
      </w:pPr>
      <w:r>
        <w:rPr/>
        <w:t>​</w:t>
      </w:r>
    </w:p>
    <w:tbl>
      <w:tblPr>
        <w:tblW w:w="5751" w:type="dxa"/>
        <w:jc w:val="left"/>
        <w:tblInd w:w="0" w:type="dxa"/>
        <w:tblLayout w:type="fixed"/>
        <w:tblCellMar>
          <w:top w:w="28" w:type="dxa"/>
          <w:left w:w="28" w:type="dxa"/>
          <w:bottom w:w="28" w:type="dxa"/>
          <w:right w:w="28" w:type="dxa"/>
        </w:tblCellMar>
      </w:tblPr>
      <w:tblGrid>
        <w:gridCol w:w="124"/>
        <w:gridCol w:w="256"/>
        <w:gridCol w:w="5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expand and protect our intellectual property portfolio;</w:t>
            </w:r>
          </w:p>
        </w:tc>
      </w:tr>
    </w:tbl>
    <w:p>
      <w:pPr>
        <w:pStyle w:val="TextBody"/>
        <w:bidi w:val="0"/>
        <w:spacing w:before="0" w:after="0"/>
        <w:ind w:left="36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 our research and development infrastructure, including hiring and retaining additional personnel, such as clinical, quality control and scientific personnel;</w:t>
            </w:r>
          </w:p>
        </w:tc>
      </w:tr>
    </w:tbl>
    <w:p>
      <w:pPr>
        <w:pStyle w:val="TextBody"/>
        <w:bidi w:val="0"/>
        <w:spacing w:before="0" w:after="0"/>
        <w:ind w:left="36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sales, marketing, distribution and other commercial infrastructure in the future to commercialize products for which we obtain marketing approval, if any;</w:t>
            </w:r>
          </w:p>
        </w:tc>
      </w:tr>
    </w:tbl>
    <w:p>
      <w:pPr>
        <w:pStyle w:val="TextBody"/>
        <w:pBdr/>
        <w:bidi w:val="0"/>
        <w:spacing w:before="0" w:after="0"/>
        <w:ind w:left="720" w:right="0" w:hanging="36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operational, financial and management information systems and personnel, including personnel to support our product development and commercialization and help us comply with our obligations as a public company; and</w:t>
            </w:r>
          </w:p>
        </w:tc>
      </w:tr>
    </w:tbl>
    <w:p>
      <w:pPr>
        <w:pStyle w:val="TextBody"/>
        <w:bidi w:val="0"/>
        <w:spacing w:before="0" w:after="0"/>
        <w:ind w:left="360" w:right="0" w:hanging="0"/>
        <w:jc w:val="left"/>
        <w:rPr/>
      </w:pPr>
      <w:r>
        <w:rPr/>
        <w:t>​</w:t>
      </w:r>
    </w:p>
    <w:tbl>
      <w:tblPr>
        <w:tblW w:w="7341" w:type="dxa"/>
        <w:jc w:val="left"/>
        <w:tblInd w:w="0" w:type="dxa"/>
        <w:tblLayout w:type="fixed"/>
        <w:tblCellMar>
          <w:top w:w="28" w:type="dxa"/>
          <w:left w:w="28" w:type="dxa"/>
          <w:bottom w:w="28" w:type="dxa"/>
          <w:right w:w="28" w:type="dxa"/>
        </w:tblCellMar>
      </w:tblPr>
      <w:tblGrid>
        <w:gridCol w:w="124"/>
        <w:gridCol w:w="256"/>
        <w:gridCol w:w="69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equipment and physical infrastructure to support our research and development.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Our ability to become and remain profitable depends on our ability to generate revenue. Generating product revenue will depend on our or any of our collaborators’ ability to obtain marketing approval for, and successfully commercialize, one or more of our product candidates. Successful commercialization will require achievement of key milestones, including completing clinical trials of our product candidates, obtaining marketing approval for these product candidates, manufacturing, marketing and selling those products for which we, or any of our collaborators, may obtain marketing approval, satisfying any post-marketing requirements and obtaining reimbursement for our products from private insurance or government payors. Because of the uncertainties and risks associated with these activities, we are unable to accurately predict the timing and amount of revenues, and if or when we might achieve profitability. We and any collaborators may never succeed in these activities and, even if we do, or any collaborators do, we may never generate revenues that are large enough for us to achieve profitability. Even if we do achieve profitability, we may not be able to sustain or increase profitability on a quarterly or annual basis.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revenue to date has been primarily generated from our current and former research collaborations with Bayer Consumer Care AG, or Bayer, Novartis Pharma AG, or Novartis, Ionis Pharmaceuticals, Inc., or Ionis, and Genentech Inc., or Genentech. There can be no assurance that we will generate revenue from our collaborations in the future.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failure to become and remain profitable would depress the market price of our ADSs and could impair our ability to raise capital, expand our business, diversify our product offerings or continue our operations. If we continue to suffer losses, investors may not receive any return on their investment and may lose their entire investment.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Our limited operating history may make it difficult for holders of our ADSs or ordinary shares to evaluate the success of our business to date and to assess our future viability</w:t>
      </w:r>
      <w:r>
        <w:rPr>
          <w:rFonts w:ascii="Times New Roman;Times;serif" w:hAnsi="Times New Roman;Times;serif"/>
          <w:i/>
          <w:sz w:val="20"/>
        </w:rPr>
        <w: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Our business commenced operations in 2009. Our operations to date have been limited to financing and staffing our company, developing our technology, conducting preclinical research and early-stage clinical trials for our product candidates and pursuing strategic collaborations to advance our product candidates. We have not yet demonstrated an ability to successfully conduct late-stage clinical trials, obtain marketing approvals, manufacture a commercial-scale product, or arrange for a third party to do so on our behalf, or conduct sales and marketing activities necessary for successful product commercialization. Accordingly, any current or prospective holder of our ADSs or ordinary shares should consider our prospects in light of the costs, uncertainties, delays and difficulties frequently encountered by companies in the early stages of development, especially clinical-stage pharmaceutical companies such as ours. Any predictions made about our future success or viability may not be as accurate as they would be if we had a longer operating history or a history of successfully developing and commercializing pharmaceutical products.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may encounter unforeseen expenses, difficulties, complications, delays and other known or unknown factors in achieving our business objectives. We will eventually need to transition from a company with a development focus to a company capable of supporting commercial activities. We may not be successful in such a transition.</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expect our financial condition and operating results to continue to fluctuate significantly from quarter to quarter and year to year due to a variety of factors, many of which are beyond our control and reliance should not be made upon the results of any quarterly or annual periods as indications of future operating performance.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We may need substantial additional funding</w:t>
      </w:r>
      <w:r>
        <w:rPr>
          <w:rFonts w:ascii="Times New Roman;Times;serif" w:hAnsi="Times New Roman;Times;serif"/>
          <w:i/>
          <w:sz w:val="20"/>
        </w:rPr>
        <w:t xml:space="preserve">, </w:t>
      </w:r>
      <w:r>
        <w:rPr>
          <w:rFonts w:ascii="Times New Roman;Times;serif" w:hAnsi="Times New Roman;Times;serif"/>
          <w:b/>
          <w:i/>
          <w:sz w:val="20"/>
        </w:rPr>
        <w:t>and if we are unable to raise capital when needed</w:t>
      </w:r>
      <w:r>
        <w:rPr>
          <w:rFonts w:ascii="Times New Roman;Times;serif" w:hAnsi="Times New Roman;Times;serif"/>
          <w:i/>
          <w:sz w:val="20"/>
        </w:rPr>
        <w:t xml:space="preserve">, </w:t>
      </w:r>
      <w:r>
        <w:rPr>
          <w:rFonts w:ascii="Times New Roman;Times;serif" w:hAnsi="Times New Roman;Times;serif"/>
          <w:b/>
          <w:i/>
          <w:sz w:val="20"/>
        </w:rPr>
        <w:t>we could be forced to delay</w:t>
      </w:r>
      <w:r>
        <w:rPr>
          <w:rFonts w:ascii="Times New Roman;Times;serif" w:hAnsi="Times New Roman;Times;serif"/>
          <w:i/>
          <w:sz w:val="20"/>
        </w:rPr>
        <w:t xml:space="preserve">, </w:t>
      </w:r>
      <w:r>
        <w:rPr>
          <w:rFonts w:ascii="Times New Roman;Times;serif" w:hAnsi="Times New Roman;Times;serif"/>
          <w:b/>
          <w:i/>
          <w:sz w:val="20"/>
        </w:rPr>
        <w:t>reduce or eliminate our product discovery and development programs or commercialization efforts</w:t>
      </w:r>
      <w:r>
        <w:rPr>
          <w:rFonts w:ascii="Times New Roman;Times;serif" w:hAnsi="Times New Roman;Times;serif"/>
          <w:i/>
          <w:sz w:val="20"/>
        </w:rPr>
        <w: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Developing pharmaceutical products, including conducting preclinical studies and clinical trials, is a very time-consuming, expensive and uncertain process that takes years to complete. We expect our expenses to increase in connection with our ongoing activities, particularly as we initiate new clinical trials of, initiate new research and preclinical development efforts for and seek marketing approval for, our current product candidates or any future product candidates. In addition, if we obtain marketing approval for any of our product candidates, we may incur significant commercialization expenses related to product sales, marketing, manufacturing and distribution to the extent that such sales, marketing, manufacturing and distribution are not the responsibility of a collaborator. Furthermore, we expect to incur significant ongoing costs associated with operating as a public company. Accordingly, we will need to obtain substantial additional funding in connection with our continuing operations. If we are unable to raise capital when needed or on attractive terms, we may be forced to delay, reduce or eliminate our research and development programs or any future commercialization efforts.</w:t>
      </w:r>
    </w:p>
    <w:p>
      <w:pPr>
        <w:pStyle w:val="TextBody"/>
        <w:bidi w:val="0"/>
        <w:spacing w:before="0" w:after="0"/>
        <w:ind w:left="0" w:right="0" w:firstLine="72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will be required to expend significant funds in order to advance the development of the product candidates in our pipeline, as well as other product candidates we may seek to develop. In addition, while we may seek one or more collaborators for future development of our product candidates, we may not be able to enter into a collaboration for any of our product candidates for such indications on suitable terms, on a timely basis or at all. In any event, our existing cash will not be sufficient to fund all of the efforts that we plan to undertake or to fund the completion of development of any of our product candidates. Accordingly, we will be required to obtain further funding through public or private equity offerings, debt financings, collaborations and licensing arrangements or other sources. We do not have any committed external source of funds. Adequate additional financing may not be available to us on acceptable terms, or at all. Our failure to raise capital as and when needed would have a negative impact on our financial condition and our ability to pursue our business strategy.</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bookmarkStart w:id="1006" w:name="_cp_text_2_2"/>
      <w:bookmarkEnd w:id="1006"/>
      <w:r>
        <w:rPr>
          <w:rFonts w:ascii="Times New Roman;Times;serif" w:hAnsi="Times New Roman;Times;serif"/>
          <w:sz w:val="20"/>
        </w:rPr>
        <w:t>We believe that our existing cash and cash equivalents of $510.1 million as of June 30, 2026, will enable us to fund our operating expenses and capital expenditure requirements for at least 12 months from the date of filing of this Quarterly Report. Our estimate may prove to be wrong, and we could use our available capital resources sooner than we currently expect. Further, changing circumstances, some of which may be beyond our control, could cause us to consume capital significantly faster than we currently anticipate, and we may need to seek additional funds sooner than planned. Our future funding requirements, both short-term and long-term, will depend on many factors, including:</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progress, timing, costs and results of clinical trials of, and research and preclinical development efforts for, our current and future product candidates;</w:t>
            </w:r>
          </w:p>
        </w:tc>
      </w:tr>
    </w:tbl>
    <w:p>
      <w:pPr>
        <w:pStyle w:val="TextBody"/>
        <w:bidi w:val="0"/>
        <w:spacing w:before="0" w:after="0"/>
        <w:ind w:left="360" w:right="0" w:hanging="0"/>
        <w:jc w:val="left"/>
        <w:rPr/>
      </w:pPr>
      <w:r>
        <w:rPr/>
        <w:t>​</w:t>
      </w:r>
    </w:p>
    <w:tbl>
      <w:tblPr>
        <w:tblW w:w="9036" w:type="dxa"/>
        <w:jc w:val="left"/>
        <w:tblInd w:w="0" w:type="dxa"/>
        <w:tblLayout w:type="fixed"/>
        <w:tblCellMar>
          <w:top w:w="28" w:type="dxa"/>
          <w:left w:w="28" w:type="dxa"/>
          <w:bottom w:w="28" w:type="dxa"/>
          <w:right w:w="28" w:type="dxa"/>
        </w:tblCellMar>
      </w:tblPr>
      <w:tblGrid>
        <w:gridCol w:w="124"/>
        <w:gridCol w:w="256"/>
        <w:gridCol w:w="86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enter into, and the terms and timing of, any collaborations, licensing or other arrangements;</w:t>
            </w:r>
          </w:p>
        </w:tc>
      </w:tr>
    </w:tbl>
    <w:p>
      <w:pPr>
        <w:pStyle w:val="TextBody"/>
        <w:bidi w:val="0"/>
        <w:spacing w:before="0" w:after="0"/>
        <w:ind w:left="360" w:right="0" w:hanging="0"/>
        <w:jc w:val="left"/>
        <w:rPr/>
      </w:pPr>
      <w:r>
        <w:rPr/>
        <w:t>​</w:t>
      </w:r>
    </w:p>
    <w:tbl>
      <w:tblPr>
        <w:tblW w:w="6771" w:type="dxa"/>
        <w:jc w:val="left"/>
        <w:tblInd w:w="0" w:type="dxa"/>
        <w:tblLayout w:type="fixed"/>
        <w:tblCellMar>
          <w:top w:w="28" w:type="dxa"/>
          <w:left w:w="28" w:type="dxa"/>
          <w:bottom w:w="28" w:type="dxa"/>
          <w:right w:w="28" w:type="dxa"/>
        </w:tblCellMar>
      </w:tblPr>
      <w:tblGrid>
        <w:gridCol w:w="124"/>
        <w:gridCol w:w="256"/>
        <w:gridCol w:w="63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identify one or more future product candidates for our pipeline;</w:t>
            </w:r>
          </w:p>
        </w:tc>
      </w:tr>
    </w:tbl>
    <w:p>
      <w:pPr>
        <w:pStyle w:val="TextBody"/>
        <w:bidi w:val="0"/>
        <w:spacing w:before="0" w:after="0"/>
        <w:ind w:left="360" w:right="0" w:hanging="0"/>
        <w:jc w:val="left"/>
        <w:rPr/>
      </w:pPr>
      <w:r>
        <w:rPr/>
        <w:t>​</w:t>
      </w:r>
    </w:p>
    <w:tbl>
      <w:tblPr>
        <w:tblW w:w="8016" w:type="dxa"/>
        <w:jc w:val="left"/>
        <w:tblInd w:w="0" w:type="dxa"/>
        <w:tblLayout w:type="fixed"/>
        <w:tblCellMar>
          <w:top w:w="28" w:type="dxa"/>
          <w:left w:w="28" w:type="dxa"/>
          <w:bottom w:w="28" w:type="dxa"/>
          <w:right w:w="28" w:type="dxa"/>
        </w:tblCellMar>
      </w:tblPr>
      <w:tblGrid>
        <w:gridCol w:w="124"/>
        <w:gridCol w:w="256"/>
        <w:gridCol w:w="76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future product candidates that we pursue and their development requirements;</w:t>
            </w:r>
          </w:p>
        </w:tc>
      </w:tr>
    </w:tbl>
    <w:p>
      <w:pPr>
        <w:pStyle w:val="TextBody"/>
        <w:bidi w:val="0"/>
        <w:spacing w:before="0" w:after="0"/>
        <w:ind w:left="360" w:right="0" w:hanging="0"/>
        <w:jc w:val="left"/>
        <w:rPr/>
      </w:pPr>
      <w:r>
        <w:rPr/>
        <w:t>​</w:t>
      </w:r>
    </w:p>
    <w:tbl>
      <w:tblPr>
        <w:tblW w:w="5631" w:type="dxa"/>
        <w:jc w:val="left"/>
        <w:tblInd w:w="0" w:type="dxa"/>
        <w:tblLayout w:type="fixed"/>
        <w:tblCellMar>
          <w:top w:w="28" w:type="dxa"/>
          <w:left w:w="28" w:type="dxa"/>
          <w:bottom w:w="28" w:type="dxa"/>
          <w:right w:w="28" w:type="dxa"/>
        </w:tblCellMar>
      </w:tblPr>
      <w:tblGrid>
        <w:gridCol w:w="124"/>
        <w:gridCol w:w="256"/>
        <w:gridCol w:w="52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timing and costs of seeking regulatory approvals;</w:t>
            </w:r>
          </w:p>
        </w:tc>
      </w:tr>
    </w:tbl>
    <w:p>
      <w:pPr>
        <w:pStyle w:val="TextBody"/>
        <w:bidi w:val="0"/>
        <w:spacing w:before="0" w:after="0"/>
        <w:ind w:left="36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commercialization activities for any of our product candidates that receive marketing approval to the extent such costs are not the responsibility of any collaborators, including the costs and timing of establishing product sales, marketing, distribution and manufacturing capabilities;</w:t>
            </w:r>
          </w:p>
        </w:tc>
      </w:tr>
    </w:tbl>
    <w:p>
      <w:pPr>
        <w:pStyle w:val="TextBody"/>
        <w:bidi w:val="0"/>
        <w:spacing w:before="0" w:after="0"/>
        <w:ind w:left="36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receipt of marketing approval, revenue, if any, received from commercial sales of our current and future product candidates;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36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headcount and associated costs as we progress our research and development and establish a commercial infrastructure;</w:t>
            </w:r>
          </w:p>
        </w:tc>
      </w:tr>
    </w:tbl>
    <w:p>
      <w:pPr>
        <w:pStyle w:val="TextBody"/>
        <w:bidi w:val="0"/>
        <w:spacing w:before="0" w:after="0"/>
        <w:ind w:left="36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preparing, filing and prosecuting patent applications, maintaining and protecting our intellectual property rights including enforcing and defending intellectual property related claims; and</w:t>
            </w:r>
          </w:p>
        </w:tc>
      </w:tr>
    </w:tbl>
    <w:p>
      <w:pPr>
        <w:pStyle w:val="TextBody"/>
        <w:bidi w:val="0"/>
        <w:spacing w:before="0" w:after="0"/>
        <w:ind w:left="360" w:right="0" w:hanging="0"/>
        <w:jc w:val="left"/>
        <w:rPr/>
      </w:pPr>
      <w:r>
        <w:rPr/>
        <w:t>​</w:t>
      </w:r>
    </w:p>
    <w:tbl>
      <w:tblPr>
        <w:tblW w:w="4026" w:type="dxa"/>
        <w:jc w:val="left"/>
        <w:tblInd w:w="0" w:type="dxa"/>
        <w:tblLayout w:type="fixed"/>
        <w:tblCellMar>
          <w:top w:w="28" w:type="dxa"/>
          <w:left w:w="28" w:type="dxa"/>
          <w:bottom w:w="28" w:type="dxa"/>
          <w:right w:w="28" w:type="dxa"/>
        </w:tblCellMar>
      </w:tblPr>
      <w:tblGrid>
        <w:gridCol w:w="124"/>
        <w:gridCol w:w="256"/>
        <w:gridCol w:w="3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operating as a public company.</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While the long-term economic impact of geopolitical risks, including evolving impacts from tariffs, sanctions or other trade tensions between the United States and other countries, or demand or supply shocks from events such as major terrorist attacks, war, natural disasters or actual or threatened public health pandemics or other emergencies is difficult to assess or predict, these events have caused or may cause significant disruptions to the global financial markets and have contributed or may contribute to a general global economic slowdown. Furthermore, inflation rates, particularly in the United States and the United Kingdom, recently increased to levels not seen in decades and, despite recent decreases, remain high. Increased inflation may result in increased operating costs (including labor costs) and may affect our operating budgets. Future increases in interest rates, especially if coupled with reduced government spending and volatility in financial markets and the global banking system, may further increase economic uncertainty and heighten these risks.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Raising additional capital may cause dilution to our existing shareholders or holders of our ADSs</w:t>
      </w:r>
      <w:r>
        <w:rPr>
          <w:rFonts w:ascii="Times New Roman;Times;serif" w:hAnsi="Times New Roman;Times;serif"/>
          <w:i/>
          <w:sz w:val="20"/>
        </w:rPr>
        <w:t xml:space="preserve">, </w:t>
      </w:r>
      <w:r>
        <w:rPr>
          <w:rFonts w:ascii="Times New Roman;Times;serif" w:hAnsi="Times New Roman;Times;serif"/>
          <w:b/>
          <w:i/>
          <w:sz w:val="20"/>
        </w:rPr>
        <w:t>restrict our operations or cause us to relinquish valuable rights</w:t>
      </w:r>
      <w:r>
        <w:rPr>
          <w:rFonts w:ascii="Times New Roman;Times;serif" w:hAnsi="Times New Roman;Times;serif"/>
          <w:i/>
          <w:sz w:val="20"/>
        </w:rPr>
        <w: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may seek additional capital through a combination of public and private equity offerings, debt financings, strategic partnerships and alliances, licensing arrangements or monetization transactions. To the extent that we raise additional capital through the sale of equity, convertible debt securities or other equity-based derivative securities, the ownership interest of existing holders of our ADSs or ordinary shares will be diluted and the terms may include liquidation or other preferences that adversely affect existing holders’ rights. Any indebtedness we incur would result in increased fixed payment obligations and could involve restrictive covenants, such as limitations on our ability to incur additional debt, limitations on our ability to acquire or license intellectual property rights and other operating restrictions that could adversely impact our ability to conduct our business. Furthermore, the issuance of additional securities, whether equity or debt, by us, or the possibility of such issuance, may cause the market price of our ADSs to decline and existing shareholders may not agree with our financing plans or the terms of such financings. If we raise additional funds through strategic partnerships and alliances, licensing arrangements or monetization transactions with third parties, we may have to relinquish valuable rights to our technologies, or our product candidates, or grant licenses on terms unfavorable to us. Adequate additional financing may not be available to us on acceptable terms, or at all. If we are unable to raise additional funds when needed, we may be required to delay, limit, reduce or terminate our product development or future commercialization efforts or grant rights to develop and market product candidates that we would otherwise prefer to develop and market ourselves</w:t>
      </w:r>
      <w:r>
        <w:rPr>
          <w:rFonts w:ascii="Times New Roman;Times;serif" w:hAnsi="Times New Roman;Times;serif"/>
          <w:sz w:val="20"/>
          <w:shd w:fill="FFFFFF" w:val="clea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Risks Related to the Discovery</w:t>
      </w:r>
      <w:r>
        <w:rPr>
          <w:rFonts w:ascii="Times New Roman;Times;serif" w:hAnsi="Times New Roman;Times;serif"/>
          <w:sz w:val="20"/>
        </w:rPr>
        <w:t xml:space="preserve">, </w:t>
      </w:r>
      <w:r>
        <w:rPr>
          <w:rFonts w:ascii="Times New Roman;Times;serif" w:hAnsi="Times New Roman;Times;serif"/>
          <w:b/>
          <w:sz w:val="20"/>
        </w:rPr>
        <w:t>Development and Regulatory Approval of Our Product Candidates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We are substantially dependent on the success of our internal development programs and of our product candidates from our BDC and BRC programs, which may not successfully complete clinical trials</w:t>
      </w:r>
      <w:r>
        <w:rPr>
          <w:rFonts w:ascii="Times New Roman;Times;serif" w:hAnsi="Times New Roman;Times;serif"/>
          <w:i/>
          <w:sz w:val="20"/>
        </w:rPr>
        <w:t xml:space="preserve">, </w:t>
      </w:r>
      <w:r>
        <w:rPr>
          <w:rFonts w:ascii="Times New Roman;Times;serif" w:hAnsi="Times New Roman;Times;serif"/>
          <w:b/>
          <w:i/>
          <w:sz w:val="20"/>
        </w:rPr>
        <w:t>receive regulatory approval or be successfully commercialized</w:t>
      </w:r>
      <w:r>
        <w:rPr>
          <w:rFonts w:ascii="Times New Roman;Times;serif" w:hAnsi="Times New Roman;Times;serif"/>
          <w:i/>
          <w:sz w:val="20"/>
        </w:rPr>
        <w: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future success will depend heavily on the success of our internal development programs and of product candidates from our BDC and BRC programs.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Within our BDC programs, we are evaluating nuzefatide pevedotin (formerly BT5528), a BDC molecule that targets Ephrin type-A receptor 2, or EphA2 and carries a MMAE cytotoxin payload, in an ongoing, company-sponsored Phase I/II clinical trial to assess safety, pharmacokinetics and preliminary clinical activity in patients with advanced malignancies historically associated with EphA2 expression as well as an ongoing, company-sponsored Phase II clinical trial to evaluate the efficacy, safety and pharmacokinetics of nuzefatide pevedotin in adult patients with recurrent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metastatic pancreatic ductal adenocarcinoma. In addition, IND-enabling activities are currently ongoing for BT1702, a theranostic BRC molecule targeting MT1-MMP and carrying a </w:t>
      </w:r>
      <w:r>
        <w:rPr>
          <w:rFonts w:ascii="Times New Roman;Times;serif" w:hAnsi="Times New Roman;Times;serif"/>
          <w:sz w:val="15"/>
        </w:rPr>
        <w:t>212</w:t>
      </w:r>
      <w:r>
        <w:rPr>
          <w:rFonts w:ascii="Times New Roman;Times;serif" w:hAnsi="Times New Roman;Times;serif"/>
          <w:sz w:val="20"/>
        </w:rPr>
        <w:t>Pb radioisotope payload. There can be no assurance our BDC or BRC molecules will ever demonstrate evidence of safety or effectiveness for any use or receive regulatory approval in the United States, the European Union, or any other country in any indication. Even if clinical trials show positive results, there can be no assurance that the FDA in the United States, or the European Commission, whose decision is based on an opinion from the EMA in Europe or similar regulatory authorities will approve our BDC or BRC molecules or any of our other product candidates for any given indication for several potential reasons, including the failure to follow Good Clinical Practice, or GCP, a negative assessment of the risks and benefits, insufficient product quality control and standardization, failure to have Good Manufacturing Practices, or GMP, compliant manufacturing facilities, or the failure to agree with regulatory authorities on clinical endpoints</w:t>
      </w:r>
      <w:r>
        <w:rPr>
          <w:rFonts w:ascii="Times New Roman;Times;serif" w:hAnsi="Times New Roman;Times;serif"/>
          <w:sz w:val="20"/>
          <w:shd w:fill="FFFFFF" w:val="clear"/>
        </w:rPr>
        <w:t>.</w:t>
      </w:r>
      <w:r>
        <w:rPr>
          <w:rFonts w:ascii="Times New Roman;Times;serif" w:hAnsi="Times New Roman;Times;serif"/>
          <w:sz w:val="20"/>
        </w:rPr>
        <w:t xml:space="preserve">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ability to successfully commercialize our BDC molecules, BRC molecules, and our other product candidates will depend on, among other things, our ability to:</w:t>
      </w:r>
    </w:p>
    <w:p>
      <w:pPr>
        <w:pStyle w:val="TextBody"/>
        <w:bidi w:val="0"/>
        <w:spacing w:before="0" w:after="0"/>
        <w:ind w:left="0" w:right="0" w:hanging="0"/>
        <w:jc w:val="left"/>
        <w:rPr/>
      </w:pPr>
      <w:r>
        <w:rPr/>
        <w:t>​</w:t>
      </w:r>
    </w:p>
    <w:tbl>
      <w:tblPr>
        <w:tblW w:w="7266" w:type="dxa"/>
        <w:jc w:val="left"/>
        <w:tblInd w:w="0" w:type="dxa"/>
        <w:tblLayout w:type="fixed"/>
        <w:tblCellMar>
          <w:top w:w="28" w:type="dxa"/>
          <w:left w:w="28" w:type="dxa"/>
          <w:bottom w:w="28" w:type="dxa"/>
          <w:right w:w="28" w:type="dxa"/>
        </w:tblCellMar>
      </w:tblPr>
      <w:tblGrid>
        <w:gridCol w:w="124"/>
        <w:gridCol w:w="256"/>
        <w:gridCol w:w="68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successfully complete preclinical studies and clinical trials, which may be delayed;</w:t>
            </w:r>
          </w:p>
        </w:tc>
      </w:tr>
    </w:tbl>
    <w:p>
      <w:pPr>
        <w:pStyle w:val="TextBody"/>
        <w:bidi w:val="0"/>
        <w:spacing w:before="0" w:after="0"/>
        <w:ind w:left="36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receive regulatory approvals from the FDA, the European Commission based on an opinion from the EMA and other similar regulatory authorities;</w:t>
            </w:r>
          </w:p>
        </w:tc>
      </w:tr>
    </w:tbl>
    <w:p>
      <w:pPr>
        <w:pStyle w:val="TextBody"/>
        <w:bidi w:val="0"/>
        <w:spacing w:before="0" w:after="0"/>
        <w:ind w:left="36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and maintain collaborations with third parties for the development and/or commercialization of our product candidates, or otherwise build and maintain strong development, sales, distribution and marketing capabilities that are sufficient to develop products and launch commercial sales of any approved products;</w:t>
            </w:r>
          </w:p>
        </w:tc>
      </w:tr>
    </w:tbl>
    <w:p>
      <w:pPr>
        <w:pStyle w:val="TextBody"/>
        <w:bidi w:val="0"/>
        <w:spacing w:before="0" w:after="0"/>
        <w:ind w:left="36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coverage and adequate reimbursement from payors such as government health care systems and insurance companies and achieve commercially attractive levels of pricing;</w:t>
            </w:r>
          </w:p>
        </w:tc>
      </w:tr>
    </w:tbl>
    <w:p>
      <w:pPr>
        <w:pStyle w:val="TextBody"/>
        <w:bidi w:val="0"/>
        <w:spacing w:before="0" w:after="0"/>
        <w:ind w:left="360" w:right="0" w:hanging="0"/>
        <w:jc w:val="left"/>
        <w:rPr/>
      </w:pPr>
      <w:r>
        <w:rPr/>
        <w:t>​</w:t>
      </w:r>
    </w:p>
    <w:tbl>
      <w:tblPr>
        <w:tblW w:w="10101" w:type="dxa"/>
        <w:jc w:val="left"/>
        <w:tblInd w:w="0" w:type="dxa"/>
        <w:tblLayout w:type="fixed"/>
        <w:tblCellMar>
          <w:top w:w="28" w:type="dxa"/>
          <w:left w:w="28" w:type="dxa"/>
          <w:bottom w:w="28" w:type="dxa"/>
          <w:right w:w="28" w:type="dxa"/>
        </w:tblCellMar>
      </w:tblPr>
      <w:tblGrid>
        <w:gridCol w:w="124"/>
        <w:gridCol w:w="256"/>
        <w:gridCol w:w="9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secure acceptance of our product candidates from physicians, health care payors, patients and the medical community;</w:t>
            </w:r>
          </w:p>
        </w:tc>
      </w:tr>
    </w:tbl>
    <w:p>
      <w:pPr>
        <w:pStyle w:val="TextBody"/>
        <w:bidi w:val="0"/>
        <w:spacing w:before="0" w:after="0"/>
        <w:ind w:left="36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produce, through a validated process, in manufacturing facilities inspected and approved by regulatory authorities, including the FDA, sufficiently large quantities of our product candidates to permit successful commercialization;</w:t>
            </w:r>
          </w:p>
        </w:tc>
      </w:tr>
    </w:tbl>
    <w:p>
      <w:pPr>
        <w:pStyle w:val="TextBody"/>
        <w:bidi w:val="0"/>
        <w:spacing w:before="0" w:after="0"/>
        <w:ind w:left="360" w:right="0" w:hanging="0"/>
        <w:jc w:val="left"/>
        <w:rPr/>
      </w:pPr>
      <w:r>
        <w:rPr/>
        <w:t>​</w:t>
      </w:r>
    </w:p>
    <w:tbl>
      <w:tblPr>
        <w:tblW w:w="7941" w:type="dxa"/>
        <w:jc w:val="left"/>
        <w:tblInd w:w="0" w:type="dxa"/>
        <w:tblLayout w:type="fixed"/>
        <w:tblCellMar>
          <w:top w:w="28" w:type="dxa"/>
          <w:left w:w="28" w:type="dxa"/>
          <w:bottom w:w="28" w:type="dxa"/>
          <w:right w:w="28" w:type="dxa"/>
        </w:tblCellMar>
      </w:tblPr>
      <w:tblGrid>
        <w:gridCol w:w="124"/>
        <w:gridCol w:w="256"/>
        <w:gridCol w:w="75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 our spending as expenses increase due to clinical trials and commercialization; and</w:t>
            </w:r>
          </w:p>
        </w:tc>
      </w:tr>
    </w:tbl>
    <w:p>
      <w:pPr>
        <w:pStyle w:val="TextBody"/>
        <w:bidi w:val="0"/>
        <w:spacing w:before="0" w:after="0"/>
        <w:ind w:left="36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and enforce sufficient intellectual property rights for any approved products and product candidates and maintain freedom to operate for such products with respect to the intellectual property rights of third parties.</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Of the large number of drugs in development in the pharmaceutical industry, only a small percentage result in the submission of a new drug application, or NDA, to the FDA or comparable foreign applications to competent regulatory authorities abroad, and even fewer are approved for commercialization. Furthermore, even if we do receive regulatory approval to market our product candidates, any such approval may be subject to limitations on the indicated uses or patient populations for which we may market the product. Accordingly, even if we are able to obtain the requisite financing to continue to fund our development programs, we cannot provide assurance that our product candidates will be successfully developed or commercialized. If we are unable to develop, or obtain regulatory approval for, or, if approved, to successfully commercialize our product candidates, we may not be able to generate sufficient revenue to continue our business.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color w:val="231F20"/>
          <w:sz w:val="20"/>
        </w:rPr>
        <w:t>In</w:t>
      </w:r>
      <w:r>
        <w:rPr>
          <w:rFonts w:ascii="Times New Roman;Times;serif" w:hAnsi="Times New Roman;Times;serif"/>
          <w:color w:val="231F20"/>
          <w:spacing w:val="1"/>
          <w:sz w:val="20"/>
        </w:rPr>
        <w:t xml:space="preserve"> </w:t>
      </w:r>
      <w:r>
        <w:rPr>
          <w:rFonts w:ascii="Times New Roman;Times;serif" w:hAnsi="Times New Roman;Times;serif"/>
          <w:color w:val="231F20"/>
          <w:sz w:val="20"/>
        </w:rPr>
        <w:t>addition,</w:t>
      </w:r>
      <w:r>
        <w:rPr>
          <w:rFonts w:ascii="Times New Roman;Times;serif" w:hAnsi="Times New Roman;Times;serif"/>
          <w:color w:val="231F20"/>
          <w:spacing w:val="1"/>
          <w:sz w:val="20"/>
        </w:rPr>
        <w:t xml:space="preserve"> </w:t>
      </w:r>
      <w:r>
        <w:rPr>
          <w:rFonts w:ascii="Times New Roman;Times;serif" w:hAnsi="Times New Roman;Times;serif"/>
          <w:color w:val="231F20"/>
          <w:sz w:val="20"/>
        </w:rPr>
        <w:t>the</w:t>
      </w:r>
      <w:r>
        <w:rPr>
          <w:rFonts w:ascii="Times New Roman;Times;serif" w:hAnsi="Times New Roman;Times;serif"/>
          <w:color w:val="231F20"/>
          <w:spacing w:val="1"/>
          <w:sz w:val="20"/>
        </w:rPr>
        <w:t xml:space="preserve"> </w:t>
      </w:r>
      <w:r>
        <w:rPr>
          <w:rFonts w:ascii="Times New Roman;Times;serif" w:hAnsi="Times New Roman;Times;serif"/>
          <w:color w:val="231F20"/>
          <w:sz w:val="20"/>
        </w:rPr>
        <w:t>policies</w:t>
      </w:r>
      <w:r>
        <w:rPr>
          <w:rFonts w:ascii="Times New Roman;Times;serif" w:hAnsi="Times New Roman;Times;serif"/>
          <w:color w:val="231F20"/>
          <w:spacing w:val="2"/>
          <w:sz w:val="20"/>
        </w:rPr>
        <w:t xml:space="preserve"> </w:t>
      </w:r>
      <w:r>
        <w:rPr>
          <w:rFonts w:ascii="Times New Roman;Times;serif" w:hAnsi="Times New Roman;Times;serif"/>
          <w:color w:val="231F20"/>
          <w:sz w:val="20"/>
        </w:rPr>
        <w:t>of</w:t>
      </w:r>
      <w:r>
        <w:rPr>
          <w:rFonts w:ascii="Times New Roman;Times;serif" w:hAnsi="Times New Roman;Times;serif"/>
          <w:color w:val="231F20"/>
          <w:spacing w:val="1"/>
          <w:sz w:val="20"/>
        </w:rPr>
        <w:t xml:space="preserve"> </w:t>
      </w:r>
      <w:r>
        <w:rPr>
          <w:rFonts w:ascii="Times New Roman;Times;serif" w:hAnsi="Times New Roman;Times;serif"/>
          <w:color w:val="231F20"/>
          <w:sz w:val="20"/>
        </w:rPr>
        <w:t>the</w:t>
      </w:r>
      <w:r>
        <w:rPr>
          <w:rFonts w:ascii="Times New Roman;Times;serif" w:hAnsi="Times New Roman;Times;serif"/>
          <w:color w:val="231F20"/>
          <w:spacing w:val="1"/>
          <w:sz w:val="20"/>
        </w:rPr>
        <w:t xml:space="preserve"> </w:t>
      </w:r>
      <w:r>
        <w:rPr>
          <w:rFonts w:ascii="Times New Roman;Times;serif" w:hAnsi="Times New Roman;Times;serif"/>
          <w:color w:val="231F20"/>
          <w:sz w:val="20"/>
        </w:rPr>
        <w:t>FDA,</w:t>
      </w:r>
      <w:r>
        <w:rPr>
          <w:rFonts w:ascii="Times New Roman;Times;serif" w:hAnsi="Times New Roman;Times;serif"/>
          <w:color w:val="231F20"/>
          <w:spacing w:val="-1"/>
          <w:sz w:val="20"/>
        </w:rPr>
        <w:t xml:space="preserve"> </w:t>
      </w:r>
      <w:r>
        <w:rPr>
          <w:rFonts w:ascii="Times New Roman;Times;serif" w:hAnsi="Times New Roman;Times;serif"/>
          <w:color w:val="231F20"/>
          <w:sz w:val="20"/>
        </w:rPr>
        <w:t>the</w:t>
      </w:r>
      <w:r>
        <w:rPr>
          <w:rFonts w:ascii="Times New Roman;Times;serif" w:hAnsi="Times New Roman;Times;serif"/>
          <w:color w:val="231F20"/>
          <w:spacing w:val="1"/>
          <w:sz w:val="20"/>
        </w:rPr>
        <w:t xml:space="preserve"> </w:t>
      </w:r>
      <w:r>
        <w:rPr>
          <w:rFonts w:ascii="Times New Roman;Times;serif" w:hAnsi="Times New Roman;Times;serif"/>
          <w:color w:val="231F20"/>
          <w:sz w:val="20"/>
        </w:rPr>
        <w:t>competent</w:t>
      </w:r>
      <w:r>
        <w:rPr>
          <w:rFonts w:ascii="Times New Roman;Times;serif" w:hAnsi="Times New Roman;Times;serif"/>
          <w:color w:val="231F20"/>
          <w:spacing w:val="2"/>
          <w:sz w:val="20"/>
        </w:rPr>
        <w:t xml:space="preserve"> </w:t>
      </w:r>
      <w:r>
        <w:rPr>
          <w:rFonts w:ascii="Times New Roman;Times;serif" w:hAnsi="Times New Roman;Times;serif"/>
          <w:color w:val="231F20"/>
          <w:sz w:val="20"/>
        </w:rPr>
        <w:t>authorities</w:t>
      </w:r>
      <w:r>
        <w:rPr>
          <w:rFonts w:ascii="Times New Roman;Times;serif" w:hAnsi="Times New Roman;Times;serif"/>
          <w:color w:val="231F20"/>
          <w:spacing w:val="3"/>
          <w:sz w:val="20"/>
        </w:rPr>
        <w:t xml:space="preserve"> </w:t>
      </w:r>
      <w:r>
        <w:rPr>
          <w:rFonts w:ascii="Times New Roman;Times;serif" w:hAnsi="Times New Roman;Times;serif"/>
          <w:color w:val="231F20"/>
          <w:sz w:val="20"/>
        </w:rPr>
        <w:t>of</w:t>
      </w:r>
      <w:r>
        <w:rPr>
          <w:rFonts w:ascii="Times New Roman;Times;serif" w:hAnsi="Times New Roman;Times;serif"/>
          <w:color w:val="231F20"/>
          <w:spacing w:val="1"/>
          <w:sz w:val="20"/>
        </w:rPr>
        <w:t xml:space="preserve"> </w:t>
      </w:r>
      <w:r>
        <w:rPr>
          <w:rFonts w:ascii="Times New Roman;Times;serif" w:hAnsi="Times New Roman;Times;serif"/>
          <w:color w:val="231F20"/>
          <w:sz w:val="20"/>
        </w:rPr>
        <w:t>the</w:t>
      </w:r>
      <w:r>
        <w:rPr>
          <w:rFonts w:ascii="Times New Roman;Times;serif" w:hAnsi="Times New Roman;Times;serif"/>
          <w:color w:val="231F20"/>
          <w:spacing w:val="1"/>
          <w:sz w:val="20"/>
        </w:rPr>
        <w:t xml:space="preserve"> </w:t>
      </w:r>
      <w:r>
        <w:rPr>
          <w:rFonts w:ascii="Times New Roman;Times;serif" w:hAnsi="Times New Roman;Times;serif"/>
          <w:color w:val="231F20"/>
          <w:sz w:val="20"/>
        </w:rPr>
        <w:t>EU</w:t>
      </w:r>
      <w:r>
        <w:rPr>
          <w:rFonts w:ascii="Times New Roman;Times;serif" w:hAnsi="Times New Roman;Times;serif"/>
          <w:color w:val="231F20"/>
          <w:spacing w:val="-1"/>
          <w:sz w:val="20"/>
        </w:rPr>
        <w:t xml:space="preserve"> </w:t>
      </w:r>
      <w:r>
        <w:rPr>
          <w:rFonts w:ascii="Times New Roman;Times;serif" w:hAnsi="Times New Roman;Times;serif"/>
          <w:color w:val="231F20"/>
          <w:sz w:val="20"/>
        </w:rPr>
        <w:t>Member</w:t>
      </w:r>
      <w:r>
        <w:rPr>
          <w:rFonts w:ascii="Times New Roman;Times;serif" w:hAnsi="Times New Roman;Times;serif"/>
          <w:color w:val="231F20"/>
          <w:spacing w:val="1"/>
          <w:sz w:val="20"/>
        </w:rPr>
        <w:t xml:space="preserve"> </w:t>
      </w:r>
      <w:r>
        <w:rPr>
          <w:rFonts w:ascii="Times New Roman;Times;serif" w:hAnsi="Times New Roman;Times;serif"/>
          <w:color w:val="231F20"/>
          <w:sz w:val="20"/>
        </w:rPr>
        <w:t>States,</w:t>
      </w:r>
      <w:r>
        <w:rPr>
          <w:rFonts w:ascii="Times New Roman;Times;serif" w:hAnsi="Times New Roman;Times;serif"/>
          <w:color w:val="231F20"/>
          <w:spacing w:val="1"/>
          <w:sz w:val="20"/>
        </w:rPr>
        <w:t xml:space="preserve"> </w:t>
      </w:r>
      <w:r>
        <w:rPr>
          <w:rFonts w:ascii="Times New Roman;Times;serif" w:hAnsi="Times New Roman;Times;serif"/>
          <w:color w:val="231F20"/>
          <w:sz w:val="20"/>
        </w:rPr>
        <w:t>the</w:t>
      </w:r>
      <w:r>
        <w:rPr>
          <w:rFonts w:ascii="Times New Roman;Times;serif" w:hAnsi="Times New Roman;Times;serif"/>
          <w:color w:val="231F20"/>
          <w:spacing w:val="1"/>
          <w:sz w:val="20"/>
        </w:rPr>
        <w:t xml:space="preserve"> </w:t>
      </w:r>
      <w:r>
        <w:rPr>
          <w:rFonts w:ascii="Times New Roman;Times;serif" w:hAnsi="Times New Roman;Times;serif"/>
          <w:color w:val="231F20"/>
          <w:sz w:val="20"/>
        </w:rPr>
        <w:t>EMA,</w:t>
      </w:r>
      <w:r>
        <w:rPr>
          <w:rFonts w:ascii="Times New Roman;Times;serif" w:hAnsi="Times New Roman;Times;serif"/>
          <w:color w:val="231F20"/>
          <w:spacing w:val="1"/>
          <w:sz w:val="20"/>
        </w:rPr>
        <w:t xml:space="preserve"> </w:t>
      </w:r>
      <w:r>
        <w:rPr>
          <w:rFonts w:ascii="Times New Roman;Times;serif" w:hAnsi="Times New Roman;Times;serif"/>
          <w:color w:val="231F20"/>
          <w:sz w:val="20"/>
        </w:rPr>
        <w:t>the</w:t>
      </w:r>
      <w:r>
        <w:rPr>
          <w:rFonts w:ascii="Times New Roman;Times;serif" w:hAnsi="Times New Roman;Times;serif"/>
          <w:color w:val="231F20"/>
          <w:spacing w:val="1"/>
          <w:sz w:val="20"/>
        </w:rPr>
        <w:t xml:space="preserve"> </w:t>
      </w:r>
      <w:r>
        <w:rPr>
          <w:rFonts w:ascii="Times New Roman;Times;serif" w:hAnsi="Times New Roman;Times;serif"/>
          <w:color w:val="231F20"/>
          <w:sz w:val="20"/>
        </w:rPr>
        <w:t>European Commission</w:t>
      </w:r>
      <w:r>
        <w:rPr>
          <w:rFonts w:ascii="Times New Roman;Times;serif" w:hAnsi="Times New Roman;Times;serif"/>
          <w:color w:val="231F20"/>
          <w:spacing w:val="2"/>
          <w:sz w:val="20"/>
        </w:rPr>
        <w:t xml:space="preserve"> </w:t>
      </w:r>
      <w:r>
        <w:rPr>
          <w:rFonts w:ascii="Times New Roman;Times;serif" w:hAnsi="Times New Roman;Times;serif"/>
          <w:color w:val="231F20"/>
          <w:sz w:val="20"/>
        </w:rPr>
        <w:t>and other</w:t>
      </w:r>
      <w:r>
        <w:rPr>
          <w:rFonts w:ascii="Times New Roman;Times;serif" w:hAnsi="Times New Roman;Times;serif"/>
          <w:color w:val="231F20"/>
          <w:spacing w:val="1"/>
          <w:sz w:val="20"/>
        </w:rPr>
        <w:t xml:space="preserve"> </w:t>
      </w:r>
      <w:r>
        <w:rPr>
          <w:rFonts w:ascii="Times New Roman;Times;serif" w:hAnsi="Times New Roman;Times;serif"/>
          <w:color w:val="231F20"/>
          <w:sz w:val="20"/>
        </w:rPr>
        <w:t>comparable</w:t>
      </w:r>
      <w:r>
        <w:rPr>
          <w:rFonts w:ascii="Times New Roman;Times;serif" w:hAnsi="Times New Roman;Times;serif"/>
          <w:color w:val="231F20"/>
          <w:spacing w:val="2"/>
          <w:sz w:val="20"/>
        </w:rPr>
        <w:t xml:space="preserve"> </w:t>
      </w:r>
      <w:r>
        <w:rPr>
          <w:rFonts w:ascii="Times New Roman;Times;serif" w:hAnsi="Times New Roman;Times;serif"/>
          <w:color w:val="231F20"/>
          <w:sz w:val="20"/>
        </w:rPr>
        <w:t>regulatory</w:t>
      </w:r>
      <w:r>
        <w:rPr>
          <w:rFonts w:ascii="Times New Roman;Times;serif" w:hAnsi="Times New Roman;Times;serif"/>
          <w:color w:val="231F20"/>
          <w:spacing w:val="2"/>
          <w:sz w:val="20"/>
        </w:rPr>
        <w:t xml:space="preserve"> </w:t>
      </w:r>
      <w:r>
        <w:rPr>
          <w:rFonts w:ascii="Times New Roman;Times;serif" w:hAnsi="Times New Roman;Times;serif"/>
          <w:color w:val="231F20"/>
          <w:sz w:val="20"/>
        </w:rPr>
        <w:t>authorities</w:t>
      </w:r>
      <w:r>
        <w:rPr>
          <w:rFonts w:ascii="Times New Roman;Times;serif" w:hAnsi="Times New Roman;Times;serif"/>
          <w:color w:val="231F20"/>
          <w:spacing w:val="2"/>
          <w:sz w:val="20"/>
        </w:rPr>
        <w:t xml:space="preserve"> </w:t>
      </w:r>
      <w:r>
        <w:rPr>
          <w:rFonts w:ascii="Times New Roman;Times;serif" w:hAnsi="Times New Roman;Times;serif"/>
          <w:color w:val="231F20"/>
          <w:sz w:val="20"/>
        </w:rPr>
        <w:t>responsible</w:t>
      </w:r>
      <w:r>
        <w:rPr>
          <w:rFonts w:ascii="Times New Roman;Times;serif" w:hAnsi="Times New Roman;Times;serif"/>
          <w:color w:val="231F20"/>
          <w:spacing w:val="2"/>
          <w:sz w:val="20"/>
        </w:rPr>
        <w:t xml:space="preserve"> </w:t>
      </w:r>
      <w:r>
        <w:rPr>
          <w:rFonts w:ascii="Times New Roman;Times;serif" w:hAnsi="Times New Roman;Times;serif"/>
          <w:color w:val="231F20"/>
          <w:sz w:val="20"/>
        </w:rPr>
        <w:t>for</w:t>
      </w:r>
      <w:r>
        <w:rPr>
          <w:rFonts w:ascii="Times New Roman;Times;serif" w:hAnsi="Times New Roman;Times;serif"/>
          <w:color w:val="231F20"/>
          <w:spacing w:val="1"/>
          <w:sz w:val="20"/>
        </w:rPr>
        <w:t xml:space="preserve"> </w:t>
      </w:r>
      <w:r>
        <w:rPr>
          <w:rFonts w:ascii="Times New Roman;Times;serif" w:hAnsi="Times New Roman;Times;serif"/>
          <w:color w:val="231F20"/>
          <w:sz w:val="20"/>
        </w:rPr>
        <w:t>clinical</w:t>
      </w:r>
      <w:r>
        <w:rPr>
          <w:rFonts w:ascii="Times New Roman;Times;serif" w:hAnsi="Times New Roman;Times;serif"/>
          <w:color w:val="231F20"/>
          <w:spacing w:val="2"/>
          <w:sz w:val="20"/>
        </w:rPr>
        <w:t xml:space="preserve"> </w:t>
      </w:r>
      <w:r>
        <w:rPr>
          <w:rFonts w:ascii="Times New Roman;Times;serif" w:hAnsi="Times New Roman;Times;serif"/>
          <w:color w:val="231F20"/>
          <w:sz w:val="20"/>
        </w:rPr>
        <w:t>trials</w:t>
      </w:r>
      <w:r>
        <w:rPr>
          <w:rFonts w:ascii="Times New Roman;Times;serif" w:hAnsi="Times New Roman;Times;serif"/>
          <w:color w:val="231F20"/>
          <w:spacing w:val="2"/>
          <w:sz w:val="20"/>
        </w:rPr>
        <w:t xml:space="preserve"> </w:t>
      </w:r>
      <w:r>
        <w:rPr>
          <w:rFonts w:ascii="Times New Roman;Times;serif" w:hAnsi="Times New Roman;Times;serif"/>
          <w:color w:val="231F20"/>
          <w:sz w:val="20"/>
        </w:rPr>
        <w:t>may</w:t>
      </w:r>
      <w:r>
        <w:rPr>
          <w:rFonts w:ascii="Times New Roman;Times;serif" w:hAnsi="Times New Roman;Times;serif"/>
          <w:color w:val="231F20"/>
          <w:spacing w:val="1"/>
          <w:sz w:val="20"/>
        </w:rPr>
        <w:t xml:space="preserve"> </w:t>
      </w:r>
      <w:r>
        <w:rPr>
          <w:rFonts w:ascii="Times New Roman;Times;serif" w:hAnsi="Times New Roman;Times;serif"/>
          <w:color w:val="231F20"/>
          <w:sz w:val="20"/>
        </w:rPr>
        <w:t>change</w:t>
      </w:r>
      <w:r>
        <w:rPr>
          <w:rFonts w:ascii="Times New Roman;Times;serif" w:hAnsi="Times New Roman;Times;serif"/>
          <w:color w:val="231F20"/>
          <w:spacing w:val="1"/>
          <w:sz w:val="20"/>
        </w:rPr>
        <w:t xml:space="preserve"> </w:t>
      </w:r>
      <w:r>
        <w:rPr>
          <w:rFonts w:ascii="Times New Roman;Times;serif" w:hAnsi="Times New Roman;Times;serif"/>
          <w:color w:val="231F20"/>
          <w:sz w:val="20"/>
        </w:rPr>
        <w:t>and additional government</w:t>
      </w:r>
      <w:r>
        <w:rPr>
          <w:rFonts w:ascii="Times New Roman;Times;serif" w:hAnsi="Times New Roman;Times;serif"/>
          <w:color w:val="231F20"/>
          <w:spacing w:val="2"/>
          <w:sz w:val="20"/>
        </w:rPr>
        <w:t xml:space="preserve"> </w:t>
      </w:r>
      <w:r>
        <w:rPr>
          <w:rFonts w:ascii="Times New Roman;Times;serif" w:hAnsi="Times New Roman;Times;serif"/>
          <w:color w:val="231F20"/>
          <w:sz w:val="20"/>
        </w:rPr>
        <w:t>regulations</w:t>
      </w:r>
      <w:r>
        <w:rPr>
          <w:rFonts w:ascii="Times New Roman;Times;serif" w:hAnsi="Times New Roman;Times;serif"/>
          <w:color w:val="231F20"/>
          <w:spacing w:val="2"/>
          <w:sz w:val="20"/>
        </w:rPr>
        <w:t xml:space="preserve"> </w:t>
      </w:r>
      <w:r>
        <w:rPr>
          <w:rFonts w:ascii="Times New Roman;Times;serif" w:hAnsi="Times New Roman;Times;serif"/>
          <w:color w:val="231F20"/>
          <w:sz w:val="20"/>
        </w:rPr>
        <w:t>may</w:t>
      </w:r>
      <w:r>
        <w:rPr>
          <w:rFonts w:ascii="Times New Roman;Times;serif" w:hAnsi="Times New Roman;Times;serif"/>
          <w:color w:val="231F20"/>
          <w:spacing w:val="1"/>
          <w:sz w:val="20"/>
        </w:rPr>
        <w:t xml:space="preserve"> </w:t>
      </w:r>
      <w:r>
        <w:rPr>
          <w:rFonts w:ascii="Times New Roman;Times;serif" w:hAnsi="Times New Roman;Times;serif"/>
          <w:color w:val="231F20"/>
          <w:sz w:val="20"/>
        </w:rPr>
        <w:t>be</w:t>
      </w:r>
      <w:r>
        <w:rPr>
          <w:rFonts w:ascii="Times New Roman;Times;serif" w:hAnsi="Times New Roman;Times;serif"/>
          <w:color w:val="231F20"/>
          <w:spacing w:val="1"/>
          <w:sz w:val="20"/>
        </w:rPr>
        <w:t xml:space="preserve"> </w:t>
      </w:r>
      <w:r>
        <w:rPr>
          <w:rFonts w:ascii="Times New Roman;Times;serif" w:hAnsi="Times New Roman;Times;serif"/>
          <w:color w:val="231F20"/>
          <w:sz w:val="20"/>
        </w:rPr>
        <w:t>enacted.</w:t>
      </w:r>
      <w:r>
        <w:rPr>
          <w:rFonts w:ascii="Times New Roman;Times;serif" w:hAnsi="Times New Roman;Times;serif"/>
          <w:color w:val="231F20"/>
          <w:spacing w:val="1"/>
          <w:sz w:val="20"/>
        </w:rPr>
        <w:t xml:space="preserve"> </w:t>
      </w:r>
      <w:r>
        <w:rPr>
          <w:rFonts w:ascii="Times New Roman;Times;serif" w:hAnsi="Times New Roman;Times;serif"/>
          <w:color w:val="231F20"/>
          <w:sz w:val="20"/>
        </w:rPr>
        <w:t>For</w:t>
      </w:r>
      <w:r>
        <w:rPr>
          <w:rFonts w:ascii="Times New Roman;Times;serif" w:hAnsi="Times New Roman;Times;serif"/>
          <w:color w:val="231F20"/>
          <w:spacing w:val="1"/>
          <w:sz w:val="20"/>
        </w:rPr>
        <w:t xml:space="preserve"> </w:t>
      </w:r>
      <w:r>
        <w:rPr>
          <w:rFonts w:ascii="Times New Roman;Times;serif" w:hAnsi="Times New Roman;Times;serif"/>
          <w:color w:val="231F20"/>
          <w:sz w:val="20"/>
        </w:rPr>
        <w:t>instance,</w:t>
      </w:r>
      <w:r>
        <w:rPr>
          <w:rFonts w:ascii="Times New Roman;Times;serif" w:hAnsi="Times New Roman;Times;serif"/>
          <w:color w:val="231F20"/>
          <w:spacing w:val="2"/>
          <w:sz w:val="20"/>
        </w:rPr>
        <w:t xml:space="preserve"> </w:t>
      </w:r>
      <w:r>
        <w:rPr>
          <w:rFonts w:ascii="Times New Roman;Times;serif" w:hAnsi="Times New Roman;Times;serif"/>
          <w:color w:val="231F20"/>
          <w:sz w:val="20"/>
        </w:rPr>
        <w:t>the</w:t>
      </w:r>
      <w:r>
        <w:rPr>
          <w:rFonts w:ascii="Times New Roman;Times;serif" w:hAnsi="Times New Roman;Times;serif"/>
          <w:color w:val="231F20"/>
          <w:spacing w:val="1"/>
          <w:sz w:val="20"/>
        </w:rPr>
        <w:t xml:space="preserve"> </w:t>
      </w:r>
      <w:r>
        <w:rPr>
          <w:rFonts w:ascii="Times New Roman;Times;serif" w:hAnsi="Times New Roman;Times;serif"/>
          <w:color w:val="231F20"/>
          <w:sz w:val="20"/>
        </w:rPr>
        <w:t>regulatory</w:t>
      </w:r>
      <w:r>
        <w:rPr>
          <w:rFonts w:ascii="Times New Roman;Times;serif" w:hAnsi="Times New Roman;Times;serif"/>
          <w:color w:val="231F20"/>
          <w:spacing w:val="2"/>
          <w:sz w:val="20"/>
        </w:rPr>
        <w:t xml:space="preserve"> </w:t>
      </w:r>
      <w:r>
        <w:rPr>
          <w:rFonts w:ascii="Times New Roman;Times;serif" w:hAnsi="Times New Roman;Times;serif"/>
          <w:color w:val="231F20"/>
          <w:sz w:val="20"/>
        </w:rPr>
        <w:t>landscape</w:t>
      </w:r>
      <w:r>
        <w:rPr>
          <w:rFonts w:ascii="Times New Roman;Times;serif" w:hAnsi="Times New Roman;Times;serif"/>
          <w:color w:val="231F20"/>
          <w:spacing w:val="1"/>
          <w:sz w:val="20"/>
        </w:rPr>
        <w:t xml:space="preserve"> </w:t>
      </w:r>
      <w:r>
        <w:rPr>
          <w:rFonts w:ascii="Times New Roman;Times;serif" w:hAnsi="Times New Roman;Times;serif"/>
          <w:color w:val="231F20"/>
          <w:sz w:val="20"/>
        </w:rPr>
        <w:t>related</w:t>
      </w:r>
      <w:r>
        <w:rPr>
          <w:rFonts w:ascii="Times New Roman;Times;serif" w:hAnsi="Times New Roman;Times;serif"/>
          <w:color w:val="231F20"/>
          <w:spacing w:val="2"/>
          <w:sz w:val="20"/>
        </w:rPr>
        <w:t xml:space="preserve"> </w:t>
      </w:r>
      <w:r>
        <w:rPr>
          <w:rFonts w:ascii="Times New Roman;Times;serif" w:hAnsi="Times New Roman;Times;serif"/>
          <w:color w:val="231F20"/>
          <w:sz w:val="20"/>
        </w:rPr>
        <w:t>to</w:t>
      </w:r>
      <w:r>
        <w:rPr>
          <w:rFonts w:ascii="Times New Roman;Times;serif" w:hAnsi="Times New Roman;Times;serif"/>
          <w:color w:val="231F20"/>
          <w:spacing w:val="1"/>
          <w:sz w:val="20"/>
        </w:rPr>
        <w:t xml:space="preserve"> </w:t>
      </w:r>
      <w:r>
        <w:rPr>
          <w:rFonts w:ascii="Times New Roman;Times;serif" w:hAnsi="Times New Roman;Times;serif"/>
          <w:color w:val="231F20"/>
          <w:sz w:val="20"/>
        </w:rPr>
        <w:t>clinical</w:t>
      </w:r>
      <w:r>
        <w:rPr>
          <w:rFonts w:ascii="Times New Roman;Times;serif" w:hAnsi="Times New Roman;Times;serif"/>
          <w:color w:val="231F20"/>
          <w:spacing w:val="2"/>
          <w:sz w:val="20"/>
        </w:rPr>
        <w:t xml:space="preserve"> </w:t>
      </w:r>
      <w:r>
        <w:rPr>
          <w:rFonts w:ascii="Times New Roman;Times;serif" w:hAnsi="Times New Roman;Times;serif"/>
          <w:color w:val="231F20"/>
          <w:sz w:val="20"/>
        </w:rPr>
        <w:t>trials</w:t>
      </w:r>
      <w:r>
        <w:rPr>
          <w:rFonts w:ascii="Times New Roman;Times;serif" w:hAnsi="Times New Roman;Times;serif"/>
          <w:color w:val="231F20"/>
          <w:spacing w:val="2"/>
          <w:sz w:val="20"/>
        </w:rPr>
        <w:t xml:space="preserve"> </w:t>
      </w:r>
      <w:r>
        <w:rPr>
          <w:rFonts w:ascii="Times New Roman;Times;serif" w:hAnsi="Times New Roman;Times;serif"/>
          <w:color w:val="231F20"/>
          <w:sz w:val="20"/>
        </w:rPr>
        <w:t>in</w:t>
      </w:r>
      <w:r>
        <w:rPr>
          <w:rFonts w:ascii="Times New Roman;Times;serif" w:hAnsi="Times New Roman;Times;serif"/>
          <w:color w:val="231F20"/>
          <w:spacing w:val="1"/>
          <w:sz w:val="20"/>
        </w:rPr>
        <w:t xml:space="preserve"> </w:t>
      </w:r>
      <w:r>
        <w:rPr>
          <w:rFonts w:ascii="Times New Roman;Times;serif" w:hAnsi="Times New Roman;Times;serif"/>
          <w:color w:val="231F20"/>
          <w:sz w:val="20"/>
        </w:rPr>
        <w:t>the</w:t>
      </w:r>
      <w:r>
        <w:rPr>
          <w:rFonts w:ascii="Times New Roman;Times;serif" w:hAnsi="Times New Roman;Times;serif"/>
          <w:color w:val="231F20"/>
          <w:spacing w:val="1"/>
          <w:sz w:val="20"/>
        </w:rPr>
        <w:t xml:space="preserve"> </w:t>
      </w:r>
      <w:r>
        <w:rPr>
          <w:rFonts w:ascii="Times New Roman;Times;serif" w:hAnsi="Times New Roman;Times;serif"/>
          <w:color w:val="231F20"/>
          <w:sz w:val="20"/>
        </w:rPr>
        <w:t>EU recently</w:t>
      </w:r>
      <w:r>
        <w:rPr>
          <w:rFonts w:ascii="Times New Roman;Times;serif" w:hAnsi="Times New Roman;Times;serif"/>
          <w:color w:val="231F20"/>
          <w:spacing w:val="2"/>
          <w:sz w:val="20"/>
        </w:rPr>
        <w:t xml:space="preserve"> </w:t>
      </w:r>
      <w:r>
        <w:rPr>
          <w:rFonts w:ascii="Times New Roman;Times;serif" w:hAnsi="Times New Roman;Times;serif"/>
          <w:color w:val="231F20"/>
          <w:sz w:val="20"/>
        </w:rPr>
        <w:t>evolved. The CTR, which was adopted in April 2014 and repeals</w:t>
      </w:r>
      <w:r>
        <w:rPr>
          <w:rFonts w:ascii="Times New Roman;Times;serif" w:hAnsi="Times New Roman;Times;serif"/>
          <w:color w:val="231F20"/>
          <w:spacing w:val="2"/>
          <w:sz w:val="20"/>
        </w:rPr>
        <w:t xml:space="preserve"> </w:t>
      </w:r>
      <w:r>
        <w:rPr>
          <w:rFonts w:ascii="Times New Roman;Times;serif" w:hAnsi="Times New Roman;Times;serif"/>
          <w:color w:val="231F20"/>
          <w:sz w:val="20"/>
        </w:rPr>
        <w:t>the CTD,</w:t>
      </w:r>
      <w:r>
        <w:rPr>
          <w:rFonts w:ascii="Times New Roman;Times;serif" w:hAnsi="Times New Roman;Times;serif"/>
          <w:color w:val="231F20"/>
          <w:spacing w:val="2"/>
          <w:sz w:val="20"/>
        </w:rPr>
        <w:t xml:space="preserve"> </w:t>
      </w:r>
      <w:r>
        <w:rPr>
          <w:rFonts w:ascii="Times New Roman;Times;serif" w:hAnsi="Times New Roman;Times;serif"/>
          <w:color w:val="231F20"/>
          <w:sz w:val="20"/>
        </w:rPr>
        <w:t>became</w:t>
      </w:r>
      <w:r>
        <w:rPr>
          <w:rFonts w:ascii="Times New Roman;Times;serif" w:hAnsi="Times New Roman;Times;serif"/>
          <w:color w:val="231F20"/>
          <w:spacing w:val="1"/>
          <w:sz w:val="20"/>
        </w:rPr>
        <w:t xml:space="preserve"> </w:t>
      </w:r>
      <w:r>
        <w:rPr>
          <w:rFonts w:ascii="Times New Roman;Times;serif" w:hAnsi="Times New Roman;Times;serif"/>
          <w:color w:val="231F20"/>
          <w:sz w:val="20"/>
        </w:rPr>
        <w:t>applicable</w:t>
      </w:r>
      <w:r>
        <w:rPr>
          <w:rFonts w:ascii="Times New Roman;Times;serif" w:hAnsi="Times New Roman;Times;serif"/>
          <w:color w:val="231F20"/>
          <w:spacing w:val="2"/>
          <w:sz w:val="20"/>
        </w:rPr>
        <w:t xml:space="preserve"> </w:t>
      </w:r>
      <w:r>
        <w:rPr>
          <w:rFonts w:ascii="Times New Roman;Times;serif" w:hAnsi="Times New Roman;Times;serif"/>
          <w:color w:val="231F20"/>
          <w:sz w:val="20"/>
        </w:rPr>
        <w:t xml:space="preserve">on January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color w:val="231F20"/>
          <w:sz w:val="20"/>
        </w:rPr>
        <w:t>31, 2022. The CTR introduces, among other changes, a centralized application system, coordinated review procedures, expanded reporting and increased transparency obligations. Compliance</w:t>
      </w:r>
      <w:r>
        <w:rPr>
          <w:rFonts w:ascii="Times New Roman;Times;serif" w:hAnsi="Times New Roman;Times;serif"/>
          <w:color w:val="231F20"/>
          <w:spacing w:val="1"/>
          <w:sz w:val="20"/>
        </w:rPr>
        <w:t xml:space="preserve"> </w:t>
      </w:r>
      <w:r>
        <w:rPr>
          <w:rFonts w:ascii="Times New Roman;Times;serif" w:hAnsi="Times New Roman;Times;serif"/>
          <w:color w:val="231F20"/>
          <w:sz w:val="20"/>
        </w:rPr>
        <w:t>with the CTR</w:t>
      </w:r>
      <w:r>
        <w:rPr>
          <w:rFonts w:ascii="Times New Roman;Times;serif" w:hAnsi="Times New Roman;Times;serif"/>
          <w:color w:val="231F20"/>
          <w:spacing w:val="-1"/>
          <w:sz w:val="20"/>
        </w:rPr>
        <w:t xml:space="preserve"> </w:t>
      </w:r>
      <w:r>
        <w:rPr>
          <w:rFonts w:ascii="Times New Roman;Times;serif" w:hAnsi="Times New Roman;Times;serif"/>
          <w:color w:val="231F20"/>
          <w:sz w:val="20"/>
        </w:rPr>
        <w:t>requirements</w:t>
      </w:r>
      <w:r>
        <w:rPr>
          <w:rFonts w:ascii="Times New Roman;Times;serif" w:hAnsi="Times New Roman;Times;serif"/>
          <w:color w:val="231F20"/>
          <w:spacing w:val="3"/>
          <w:sz w:val="20"/>
        </w:rPr>
        <w:t xml:space="preserve"> </w:t>
      </w:r>
      <w:r>
        <w:rPr>
          <w:rFonts w:ascii="Times New Roman;Times;serif" w:hAnsi="Times New Roman;Times;serif"/>
          <w:color w:val="231F20"/>
          <w:sz w:val="20"/>
        </w:rPr>
        <w:t>by us and our third-party</w:t>
      </w:r>
      <w:r>
        <w:rPr>
          <w:rFonts w:ascii="Times New Roman;Times;serif" w:hAnsi="Times New Roman;Times;serif"/>
          <w:color w:val="231F20"/>
          <w:spacing w:val="3"/>
          <w:sz w:val="20"/>
        </w:rPr>
        <w:t xml:space="preserve"> </w:t>
      </w:r>
      <w:r>
        <w:rPr>
          <w:rFonts w:ascii="Times New Roman;Times;serif" w:hAnsi="Times New Roman;Times;serif"/>
          <w:color w:val="231F20"/>
          <w:sz w:val="20"/>
        </w:rPr>
        <w:t>service</w:t>
      </w:r>
      <w:r>
        <w:rPr>
          <w:rFonts w:ascii="Times New Roman;Times;serif" w:hAnsi="Times New Roman;Times;serif"/>
          <w:color w:val="231F20"/>
          <w:spacing w:val="2"/>
          <w:sz w:val="20"/>
        </w:rPr>
        <w:t xml:space="preserve"> </w:t>
      </w:r>
      <w:r>
        <w:rPr>
          <w:rFonts w:ascii="Times New Roman;Times;serif" w:hAnsi="Times New Roman;Times;serif"/>
          <w:color w:val="231F20"/>
          <w:sz w:val="20"/>
        </w:rPr>
        <w:t>providers,</w:t>
      </w:r>
      <w:r>
        <w:rPr>
          <w:rFonts w:ascii="Times New Roman;Times;serif" w:hAnsi="Times New Roman;Times;serif"/>
          <w:color w:val="231F20"/>
          <w:spacing w:val="2"/>
          <w:sz w:val="20"/>
        </w:rPr>
        <w:t xml:space="preserve"> </w:t>
      </w:r>
      <w:r>
        <w:rPr>
          <w:rFonts w:ascii="Times New Roman;Times;serif" w:hAnsi="Times New Roman;Times;serif"/>
          <w:color w:val="231F20"/>
          <w:sz w:val="20"/>
        </w:rPr>
        <w:t>such as CROs,</w:t>
      </w:r>
      <w:r>
        <w:rPr>
          <w:rFonts w:ascii="Times New Roman;Times;serif" w:hAnsi="Times New Roman;Times;serif"/>
          <w:color w:val="231F20"/>
          <w:spacing w:val="-1"/>
          <w:sz w:val="20"/>
        </w:rPr>
        <w:t xml:space="preserve"> </w:t>
      </w:r>
      <w:r>
        <w:rPr>
          <w:rFonts w:ascii="Times New Roman;Times;serif" w:hAnsi="Times New Roman;Times;serif"/>
          <w:color w:val="231F20"/>
          <w:sz w:val="20"/>
        </w:rPr>
        <w:t>may impact</w:t>
      </w:r>
      <w:r>
        <w:rPr>
          <w:rFonts w:ascii="Times New Roman;Times;serif" w:hAnsi="Times New Roman;Times;serif"/>
          <w:color w:val="231F20"/>
          <w:spacing w:val="2"/>
          <w:sz w:val="20"/>
        </w:rPr>
        <w:t xml:space="preserve"> </w:t>
      </w:r>
      <w:r>
        <w:rPr>
          <w:rFonts w:ascii="Times New Roman;Times;serif" w:hAnsi="Times New Roman;Times;serif"/>
          <w:color w:val="231F20"/>
          <w:sz w:val="20"/>
        </w:rPr>
        <w:t>our developments</w:t>
      </w:r>
      <w:r>
        <w:rPr>
          <w:rFonts w:ascii="Times New Roman;Times;serif" w:hAnsi="Times New Roman;Times;serif"/>
          <w:color w:val="231F20"/>
          <w:spacing w:val="2"/>
          <w:sz w:val="20"/>
        </w:rPr>
        <w:t xml:space="preserve"> </w:t>
      </w:r>
      <w:r>
        <w:rPr>
          <w:rFonts w:ascii="Times New Roman;Times;serif" w:hAnsi="Times New Roman;Times;serif"/>
          <w:color w:val="231F20"/>
          <w:sz w:val="20"/>
        </w:rPr>
        <w:t xml:space="preserve">plans. </w:t>
      </w:r>
    </w:p>
    <w:p>
      <w:pPr>
        <w:pStyle w:val="TextBody"/>
        <w:bidi w:val="0"/>
        <w:spacing w:before="0" w:after="0"/>
        <w:ind w:left="0" w:right="0" w:firstLine="720"/>
        <w:jc w:val="left"/>
        <w:rPr>
          <w:color w:val="231F20"/>
        </w:rPr>
      </w:pPr>
      <w:r>
        <w:rPr>
          <w:color w:val="231F20"/>
        </w:rPr>
        <w:t>​</w:t>
      </w:r>
    </w:p>
    <w:p>
      <w:pPr>
        <w:pStyle w:val="TextBody"/>
        <w:bidi w:val="0"/>
        <w:spacing w:before="0" w:after="0"/>
        <w:ind w:left="0" w:right="0" w:firstLine="720"/>
        <w:jc w:val="left"/>
        <w:rPr>
          <w:rFonts w:ascii="Times New Roman;Times;serif" w:hAnsi="Times New Roman;Times;serif"/>
          <w:color w:val="231F20"/>
          <w:sz w:val="20"/>
        </w:rPr>
      </w:pPr>
      <w:r>
        <w:rPr>
          <w:rFonts w:ascii="Times New Roman;Times;serif" w:hAnsi="Times New Roman;Times;serif"/>
          <w:color w:val="231F20"/>
          <w:sz w:val="20"/>
        </w:rPr>
        <w:t>In addition, on December 11, 2025, the European Commission, European Parliament and European Council reached a political agreement on a comprehensive overhaul of EU pharmaceutical legislation, or the Pharma Package. The reform has been under negotiation since the European Commission submitted its proposal in April 2023. This package, composed of a new directive and regulation to replace existing legislation, aims to modernize the EU framework. The political agreement is still subject to formal approval by the European Parliament and European Council. If approved in the form proposed, the Pharma Package will, among other changes, reduce the baseline market protection period by one year, with limited opportunities for extensions; reshape the incentives regime for orphan medicinal products; and expand the Bolar exemption. A decrease in market exclusivity opportunities for our product candidates in the EU, combined with the expanded Bolar exemption, could open them to generic or biosimilar competition earlier than under the current regime, potentially impacting reimbursement status and the commercial prospects of our product candidates.</w:t>
      </w:r>
    </w:p>
    <w:p>
      <w:pPr>
        <w:pStyle w:val="TextBody"/>
        <w:bidi w:val="0"/>
        <w:spacing w:before="0" w:after="0"/>
        <w:ind w:left="0" w:right="0" w:firstLine="720"/>
        <w:jc w:val="left"/>
        <w:rPr>
          <w:color w:val="231F20"/>
        </w:rPr>
      </w:pPr>
      <w:r>
        <w:rPr>
          <w:color w:val="231F20"/>
        </w:rPr>
        <w:t>​</w:t>
      </w:r>
    </w:p>
    <w:p>
      <w:pPr>
        <w:pStyle w:val="TextBody"/>
        <w:bidi w:val="0"/>
        <w:spacing w:before="0" w:after="0"/>
        <w:ind w:left="0" w:right="0" w:firstLine="720"/>
        <w:jc w:val="left"/>
        <w:rPr>
          <w:rFonts w:ascii="TimesNewRoman" w:hAnsi="TimesNewRoman"/>
          <w:sz w:val="20"/>
        </w:rPr>
      </w:pPr>
      <w:r>
        <w:rPr>
          <w:rFonts w:ascii="TimesNewRoman" w:hAnsi="TimesNewRoman"/>
          <w:sz w:val="20"/>
        </w:rPr>
        <w:t xml:space="preserve">Moreover, following a public consultation that began in 2022, the United Kingdom government has enacted new legislation to overhaul the clinical trials regulatory framework. In April 2025, the United Kingdom adopted an amendment to the Medicines for Human Use (Clinical Trials) Regulations 2004 intended to support a more streamlined and flexible regulation of clinical trials, remove unnecessary administrative burdens on trial sponsors, and protect the interests of trial participants. It also intends to bring the U.K. regulatory framework for clinical trials into closer alignment with the EU’s CTR. The amendment became applicable on April 28, 2026 following a one-year transition period. While these changes introduce efficiencies and align with some principles of the CTR, divergence between the United Kingdom and EU regulatory systems remains. Any significant divergence could affect the cost and complexity of conducting clinical trials in the United Kingdom and may impact the acceptability of United Kingdom-based trial data for seeking marketing authorizations in the EU, and vice versa.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color w:val="231F20"/>
          <w:sz w:val="20"/>
        </w:rPr>
        <w:t>If we are slow or unable to adapt to changes in existing</w:t>
      </w:r>
      <w:r>
        <w:rPr>
          <w:rFonts w:ascii="Times New Roman;Times;serif" w:hAnsi="Times New Roman;Times;serif"/>
          <w:color w:val="231F20"/>
          <w:spacing w:val="2"/>
          <w:sz w:val="20"/>
        </w:rPr>
        <w:t xml:space="preserve"> </w:t>
      </w:r>
      <w:r>
        <w:rPr>
          <w:rFonts w:ascii="Times New Roman;Times;serif" w:hAnsi="Times New Roman;Times;serif"/>
          <w:color w:val="231F20"/>
          <w:sz w:val="20"/>
        </w:rPr>
        <w:t>requirements</w:t>
      </w:r>
      <w:r>
        <w:rPr>
          <w:rFonts w:ascii="Times New Roman;Times;serif" w:hAnsi="Times New Roman;Times;serif"/>
          <w:color w:val="231F20"/>
          <w:spacing w:val="3"/>
          <w:sz w:val="20"/>
        </w:rPr>
        <w:t xml:space="preserve"> </w:t>
      </w:r>
      <w:r>
        <w:rPr>
          <w:rFonts w:ascii="Times New Roman;Times;serif" w:hAnsi="Times New Roman;Times;serif"/>
          <w:color w:val="231F20"/>
          <w:sz w:val="20"/>
        </w:rPr>
        <w:t>or the adoption of new requirements</w:t>
      </w:r>
      <w:r>
        <w:rPr>
          <w:rFonts w:ascii="Times New Roman;Times;serif" w:hAnsi="Times New Roman;Times;serif"/>
          <w:color w:val="231F20"/>
          <w:spacing w:val="3"/>
          <w:sz w:val="20"/>
        </w:rPr>
        <w:t xml:space="preserve"> </w:t>
      </w:r>
      <w:r>
        <w:rPr>
          <w:rFonts w:ascii="Times New Roman;Times;serif" w:hAnsi="Times New Roman;Times;serif"/>
          <w:color w:val="231F20"/>
          <w:sz w:val="20"/>
        </w:rPr>
        <w:t>or policies,</w:t>
      </w:r>
      <w:r>
        <w:rPr>
          <w:rFonts w:ascii="Times New Roman;Times;serif" w:hAnsi="Times New Roman;Times;serif"/>
          <w:color w:val="231F20"/>
          <w:spacing w:val="2"/>
          <w:sz w:val="20"/>
        </w:rPr>
        <w:t xml:space="preserve"> </w:t>
      </w:r>
      <w:r>
        <w:rPr>
          <w:rFonts w:ascii="Times New Roman;Times;serif" w:hAnsi="Times New Roman;Times;serif"/>
          <w:color w:val="231F20"/>
          <w:sz w:val="20"/>
        </w:rPr>
        <w:t>our development</w:t>
      </w:r>
      <w:r>
        <w:rPr>
          <w:rFonts w:ascii="Times New Roman;Times;serif" w:hAnsi="Times New Roman;Times;serif"/>
          <w:color w:val="231F20"/>
          <w:spacing w:val="2"/>
          <w:sz w:val="20"/>
        </w:rPr>
        <w:t xml:space="preserve"> </w:t>
      </w:r>
      <w:r>
        <w:rPr>
          <w:rFonts w:ascii="Times New Roman;Times;serif" w:hAnsi="Times New Roman;Times;serif"/>
          <w:color w:val="231F20"/>
          <w:sz w:val="20"/>
        </w:rPr>
        <w:t>plans</w:t>
      </w:r>
      <w:r>
        <w:rPr>
          <w:rFonts w:ascii="Times New Roman;Times;serif" w:hAnsi="Times New Roman;Times;serif"/>
          <w:color w:val="231F20"/>
          <w:spacing w:val="2"/>
          <w:sz w:val="20"/>
        </w:rPr>
        <w:t xml:space="preserve"> </w:t>
      </w:r>
      <w:r>
        <w:rPr>
          <w:rFonts w:ascii="Times New Roman;Times;serif" w:hAnsi="Times New Roman;Times;serif"/>
          <w:color w:val="231F20"/>
          <w:sz w:val="20"/>
        </w:rPr>
        <w:t>may</w:t>
      </w:r>
      <w:r>
        <w:rPr>
          <w:rFonts w:ascii="Times New Roman;Times;serif" w:hAnsi="Times New Roman;Times;serif"/>
          <w:color w:val="231F20"/>
          <w:spacing w:val="1"/>
          <w:sz w:val="20"/>
        </w:rPr>
        <w:t xml:space="preserve"> </w:t>
      </w:r>
      <w:r>
        <w:rPr>
          <w:rFonts w:ascii="Times New Roman;Times;serif" w:hAnsi="Times New Roman;Times;serif"/>
          <w:color w:val="231F20"/>
          <w:sz w:val="20"/>
        </w:rPr>
        <w:t>be impacted.</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We are at an early stage in our development efforts</w:t>
      </w:r>
      <w:r>
        <w:rPr>
          <w:rFonts w:ascii="Times New Roman;Times;serif" w:hAnsi="Times New Roman;Times;serif"/>
          <w:i/>
          <w:sz w:val="20"/>
        </w:rPr>
        <w:t xml:space="preserve">, </w:t>
      </w:r>
      <w:r>
        <w:rPr>
          <w:rFonts w:ascii="Times New Roman;Times;serif" w:hAnsi="Times New Roman;Times;serif"/>
          <w:b/>
          <w:i/>
          <w:sz w:val="20"/>
        </w:rPr>
        <w:t>and</w:t>
      </w:r>
      <w:r>
        <w:rPr>
          <w:rFonts w:ascii="Times New Roman;Times;serif" w:hAnsi="Times New Roman;Times;serif"/>
          <w:sz w:val="20"/>
        </w:rPr>
        <w:t xml:space="preserve"> </w:t>
      </w:r>
      <w:r>
        <w:rPr>
          <w:rFonts w:ascii="Times New Roman;Times;serif" w:hAnsi="Times New Roman;Times;serif"/>
          <w:b/>
          <w:i/>
          <w:sz w:val="20"/>
        </w:rPr>
        <w:t>our product candidates and those of our collaborators represent a new category of medicines and may be subject to heightened regulatory scrutiny until they are established as a therapeutic modality</w:t>
      </w:r>
      <w:r>
        <w:rPr>
          <w:rFonts w:ascii="Times New Roman;Times;serif" w:hAnsi="Times New Roman;Times;serif"/>
          <w:i/>
          <w:sz w:val="20"/>
        </w:rPr>
        <w: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Bicycle</w:t>
      </w:r>
      <w:r>
        <w:rPr>
          <w:rFonts w:ascii="Times New Roman;Times;serif" w:hAnsi="Times New Roman;Times;serif"/>
          <w:sz w:val="20"/>
          <w:shd w:fill="FFFFFF" w:val="clear"/>
        </w:rPr>
        <w:t xml:space="preserve"> molecules are fully synthetic short peptides constrained to form two loops which stabilize their structural geometry. This constraint facilitates target binding with high affinity and selectivity, making </w:t>
      </w:r>
      <w:r>
        <w:rPr>
          <w:rFonts w:ascii="Times New Roman;Times;serif" w:hAnsi="Times New Roman;Times;serif"/>
          <w:sz w:val="20"/>
        </w:rPr>
        <w:t>Bicycle</w:t>
      </w:r>
      <w:r>
        <w:rPr>
          <w:rFonts w:ascii="Times New Roman;Times;serif" w:hAnsi="Times New Roman;Times;serif"/>
          <w:sz w:val="20"/>
          <w:shd w:fill="FFFFFF" w:val="clear"/>
        </w:rPr>
        <w:t xml:space="preserve"> molecules attractive candidates for drug development. </w:t>
      </w:r>
      <w:r>
        <w:rPr>
          <w:rFonts w:ascii="Times New Roman;Times;serif" w:hAnsi="Times New Roman;Times;serif"/>
          <w:sz w:val="20"/>
        </w:rPr>
        <w:t>Bicycle</w:t>
      </w:r>
      <w:r>
        <w:rPr>
          <w:rFonts w:ascii="Times New Roman;Times;serif" w:hAnsi="Times New Roman;Times;serif"/>
          <w:sz w:val="20"/>
          <w:shd w:fill="FFFFFF" w:val="clear"/>
        </w:rPr>
        <w:t xml:space="preserve"> molecules are a unique therapeutic modality combining the pharmacology usually associated with a biologic with the manufacturing and pharmacokinetic, or PK, properties of a small molecule.</w:t>
      </w:r>
      <w:r>
        <w:rPr>
          <w:rFonts w:ascii="Times New Roman;Times;serif" w:hAnsi="Times New Roman;Times;serif"/>
          <w:sz w:val="20"/>
        </w:rPr>
        <w:t xml:space="preserve"> Our product candidates may not demonstrate in patients any or all of the pharmacological benefits we believe they may possess. We have not yet succeeded and may never succeed in demonstrating efficacy and safety for these or any other product candidates in clinical trials or in obtaining marketing approval thereafter.</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Regulatory authorities have limited experience with Bicycle molecules and may require evidence of safety and efficacy that goes beyond what we and our collaborators have included in our development plans. In such a case, development of Bicycle product candidates may be more costly or time-consuming than expected, and our candidate products and those of our collaboration partners may not prove to be viable.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If we are unsuccessful in our development efforts, we may not be able to advance the development of our product candidates, commercialize products, raise capital, expand our business or continue our operations.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Our product candidates and those of our collaborators will need to undergo preclinical and clinical trials that are time consuming and expensive</w:t>
      </w:r>
      <w:r>
        <w:rPr>
          <w:rFonts w:ascii="Times New Roman;Times;serif" w:hAnsi="Times New Roman;Times;serif"/>
          <w:i/>
          <w:sz w:val="20"/>
        </w:rPr>
        <w:t xml:space="preserve">, </w:t>
      </w:r>
      <w:r>
        <w:rPr>
          <w:rFonts w:ascii="Times New Roman;Times;serif" w:hAnsi="Times New Roman;Times;serif"/>
          <w:b/>
          <w:i/>
          <w:sz w:val="20"/>
        </w:rPr>
        <w:t>the outcomes of which are unpredictable</w:t>
      </w:r>
      <w:r>
        <w:rPr>
          <w:rFonts w:ascii="Times New Roman;Times;serif" w:hAnsi="Times New Roman;Times;serif"/>
          <w:i/>
          <w:sz w:val="20"/>
        </w:rPr>
        <w:t xml:space="preserve">, </w:t>
      </w:r>
      <w:r>
        <w:rPr>
          <w:rFonts w:ascii="Times New Roman;Times;serif" w:hAnsi="Times New Roman;Times;serif"/>
          <w:b/>
          <w:i/>
          <w:sz w:val="20"/>
        </w:rPr>
        <w:t>and for which there is a high risk of failure</w:t>
      </w:r>
      <w:r>
        <w:rPr>
          <w:rFonts w:ascii="Times New Roman;Times;serif" w:hAnsi="Times New Roman;Times;serif"/>
          <w:i/>
          <w:sz w:val="20"/>
        </w:rPr>
        <w:t xml:space="preserve">. </w:t>
      </w:r>
      <w:r>
        <w:rPr>
          <w:rFonts w:ascii="Times New Roman;Times;serif" w:hAnsi="Times New Roman;Times;serif"/>
          <w:b/>
          <w:i/>
          <w:sz w:val="20"/>
        </w:rPr>
        <w:t>If preclinical or clinical trials of our or their product candidates fail to satisfactorily demonstrate safety and efficacy to the FDA</w:t>
      </w:r>
      <w:r>
        <w:rPr>
          <w:rFonts w:ascii="Times New Roman;Times;serif" w:hAnsi="Times New Roman;Times;serif"/>
          <w:i/>
          <w:sz w:val="20"/>
        </w:rPr>
        <w:t xml:space="preserve">, </w:t>
      </w:r>
      <w:r>
        <w:rPr>
          <w:rFonts w:ascii="Times New Roman;Times;serif" w:hAnsi="Times New Roman;Times;serif"/>
          <w:b/>
          <w:i/>
          <w:sz w:val="20"/>
        </w:rPr>
        <w:t>the EMA and the European Commission and any other comparable regulatory authority</w:t>
      </w:r>
      <w:r>
        <w:rPr>
          <w:rFonts w:ascii="Times New Roman;Times;serif" w:hAnsi="Times New Roman;Times;serif"/>
          <w:i/>
          <w:sz w:val="20"/>
        </w:rPr>
        <w:t xml:space="preserve">, </w:t>
      </w:r>
      <w:r>
        <w:rPr>
          <w:rFonts w:ascii="Times New Roman;Times;serif" w:hAnsi="Times New Roman;Times;serif"/>
          <w:b/>
          <w:i/>
          <w:sz w:val="20"/>
        </w:rPr>
        <w:t>additional costs may be incurred or delays experienced in completing</w:t>
      </w:r>
      <w:r>
        <w:rPr>
          <w:rFonts w:ascii="Times New Roman;Times;serif" w:hAnsi="Times New Roman;Times;serif"/>
          <w:i/>
          <w:sz w:val="20"/>
        </w:rPr>
        <w:t xml:space="preserve">, </w:t>
      </w:r>
      <w:r>
        <w:rPr>
          <w:rFonts w:ascii="Times New Roman;Times;serif" w:hAnsi="Times New Roman;Times;serif"/>
          <w:b/>
          <w:i/>
          <w:sz w:val="20"/>
        </w:rPr>
        <w:t>the development of these product candidates</w:t>
      </w:r>
      <w:r>
        <w:rPr>
          <w:rFonts w:ascii="Times New Roman;Times;serif" w:hAnsi="Times New Roman;Times;serif"/>
          <w:i/>
          <w:sz w:val="20"/>
        </w:rPr>
        <w:t xml:space="preserve">, </w:t>
      </w:r>
      <w:r>
        <w:rPr>
          <w:rFonts w:ascii="Times New Roman;Times;serif" w:hAnsi="Times New Roman;Times;serif"/>
          <w:b/>
          <w:i/>
          <w:sz w:val="20"/>
        </w:rPr>
        <w:t>or their development may be abandoned</w:t>
      </w:r>
      <w:r>
        <w:rPr>
          <w:rFonts w:ascii="Times New Roman;Times;serif" w:hAnsi="Times New Roman;Times;serif"/>
          <w:i/>
          <w:sz w:val="20"/>
        </w:rPr>
        <w: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FDA in the United States, the European Commission based on a positive opinion from the EMA, or national competent regulatory authorities in the EEA, countries and any other comparable regulatory authorities in other jurisdictions must approve product candidates before they can be marketed, promoted or sold in those territories. We have not previously submitted an NDA to the FDA or similar drug approval filings to comparable foreign regulatory authorities for any of our product candidates. We must provide these regulatory authorities with data from preclinical studies and clinical trials that demonstrate that our product candidates are safe and effective for a specific indication before they can be approved for commercial distribution. We cannot be certain that our clinical trials for our product candidates will be successful or that any of our other product candidates will receive approval from the FDA, the European Commission based on a positive opinion from the EMA or any other comparable regulatory authority.</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Preclinical studies and clinical trials are long, expensive and unpredictable processes that can be subject to extensive delays. We cannot guarantee that any clinical trials will be conducted as planned or completed on schedule, if at all. It may take several years and require significant expenditures to complete the preclinical studies and clinical trials necessary to commercialize a product candidate, and delays or failure are inherently unpredictable and can occur at any stage. New or ongoing public health crises may also impact our and our collaboration partners’ abilities to activate trial sites or enroll patients in clinical trials or to otherwise advance those clinical trials. Interruptions resulting from such crises may reduce our, or our collaboration partners’, abilities to administer the investigational product to enrolled patients, present difficulties for enrolled patients to adhere to protocol-mandated visits and laboratory/diagnostic testing, increase the possibility of patient dropouts, or impact our, and our suppliers’, abilities to provide investigational product to trial sites, all of which could negatively impact the data we are able to obtain from our clinical trials and complicate regulatory review</w:t>
      </w:r>
      <w:r>
        <w:rPr>
          <w:rFonts w:ascii="Times New Roman;Times;serif" w:hAnsi="Times New Roman;Times;serif"/>
          <w:sz w:val="20"/>
          <w:shd w:fill="FFFFFF" w:val="clea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may also be required to conduct additional clinical trials or other testing of our product candidates beyond the trials and testing that we contemplate, which may lead to us incurring additional unplanned costs or result in delays in clinical development. In addition, we may be required to redesign or otherwise modify our plans with respect to an ongoing or planned clinical trial, and changing the design of a clinical trial can be expensive and time consuming. An unfavorable outcome in one or more trials would be a major setback for our product candidates and for us. An unfavorable outcome in one or more trials may require us to delay, reduce the scope of or eliminate one or more product development programs, which could have a material adverse effect on our business, financial position, results of operations and future growth prospects.</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Many of the factors that cause, or lead to, a delay in the commencement or completion of clinical trials may also ultimately lead to the denial of marketing approval for our product candidates. The FDA, EMA or the European Commission or any other comparable regulatory authority may disagree with our clinical trial design and our interpretation of data from clinical trials or may change the requirements for approval even after it has reviewed and commented on the design for our clinical trials</w:t>
      </w:r>
      <w:r>
        <w:rPr>
          <w:rFonts w:ascii="Times New Roman;Times;serif" w:hAnsi="Times New Roman;Times;serif"/>
          <w:sz w:val="20"/>
          <w:shd w:fill="FFFFFF" w:val="clea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connection with clinical trials of our product candidates, we face a number of risks, including risks that:</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product candidate is ineffective, inferior or a rigorous comparison cannot be made to existing approved products for the same indications;</w:t>
            </w:r>
          </w:p>
        </w:tc>
      </w:tr>
    </w:tbl>
    <w:p>
      <w:pPr>
        <w:pStyle w:val="TextBody"/>
        <w:bidi w:val="0"/>
        <w:spacing w:before="0" w:after="0"/>
        <w:ind w:left="360" w:right="0" w:hanging="0"/>
        <w:jc w:val="left"/>
        <w:rPr/>
      </w:pPr>
      <w:r>
        <w:rPr/>
        <w:t>​</w:t>
      </w:r>
    </w:p>
    <w:tbl>
      <w:tblPr>
        <w:tblW w:w="8856" w:type="dxa"/>
        <w:jc w:val="left"/>
        <w:tblInd w:w="0" w:type="dxa"/>
        <w:tblLayout w:type="fixed"/>
        <w:tblCellMar>
          <w:top w:w="28" w:type="dxa"/>
          <w:left w:w="28" w:type="dxa"/>
          <w:bottom w:w="28" w:type="dxa"/>
          <w:right w:w="28" w:type="dxa"/>
        </w:tblCellMar>
      </w:tblPr>
      <w:tblGrid>
        <w:gridCol w:w="124"/>
        <w:gridCol w:w="256"/>
        <w:gridCol w:w="8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product candidate causes or is associated with unacceptable toxicity or has unacceptable side effects;</w:t>
            </w:r>
          </w:p>
        </w:tc>
      </w:tr>
    </w:tbl>
    <w:p>
      <w:pPr>
        <w:pStyle w:val="TextBody"/>
        <w:bidi w:val="0"/>
        <w:spacing w:before="0" w:after="0"/>
        <w:ind w:left="36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patients may die or suffer adverse effects for reasons that may or may not be related to the product candidate being tested;</w:t>
            </w:r>
          </w:p>
        </w:tc>
      </w:tr>
    </w:tbl>
    <w:p>
      <w:pPr>
        <w:pStyle w:val="TextBody"/>
        <w:bidi w:val="0"/>
        <w:spacing w:before="0" w:after="0"/>
        <w:ind w:left="36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5586" w:type="dxa"/>
        <w:jc w:val="left"/>
        <w:tblInd w:w="0" w:type="dxa"/>
        <w:tblLayout w:type="fixed"/>
        <w:tblCellMar>
          <w:top w:w="28" w:type="dxa"/>
          <w:left w:w="28" w:type="dxa"/>
          <w:bottom w:w="28" w:type="dxa"/>
          <w:right w:w="28" w:type="dxa"/>
        </w:tblCellMar>
      </w:tblPr>
      <w:tblGrid>
        <w:gridCol w:w="124"/>
        <w:gridCol w:w="256"/>
        <w:gridCol w:w="52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may not confirm the positive results of earlier trials;</w:t>
            </w:r>
          </w:p>
        </w:tc>
      </w:tr>
    </w:tbl>
    <w:p>
      <w:pPr>
        <w:pStyle w:val="TextBody"/>
        <w:bidi w:val="0"/>
        <w:spacing w:before="0" w:after="0"/>
        <w:ind w:left="0" w:right="0" w:hanging="0"/>
        <w:jc w:val="left"/>
        <w:rPr/>
      </w:pPr>
      <w:r>
        <w:rPr/>
        <w:t>​</w:t>
      </w:r>
    </w:p>
    <w:tbl>
      <w:tblPr>
        <w:tblW w:w="6876" w:type="dxa"/>
        <w:jc w:val="left"/>
        <w:tblInd w:w="0" w:type="dxa"/>
        <w:tblLayout w:type="fixed"/>
        <w:tblCellMar>
          <w:top w:w="28" w:type="dxa"/>
          <w:left w:w="28" w:type="dxa"/>
          <w:bottom w:w="28" w:type="dxa"/>
          <w:right w:w="28" w:type="dxa"/>
        </w:tblCellMar>
      </w:tblPr>
      <w:tblGrid>
        <w:gridCol w:w="124"/>
        <w:gridCol w:w="256"/>
        <w:gridCol w:w="6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FDA’s view around product approval and regulatory pathway may change;</w:t>
            </w:r>
          </w:p>
        </w:tc>
      </w:tr>
    </w:tbl>
    <w:p>
      <w:pPr>
        <w:pStyle w:val="TextBody"/>
        <w:bidi w:val="0"/>
        <w:spacing w:before="0" w:after="0"/>
        <w:ind w:left="36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may not meet the level of statistical significance required by the FDA, the EMA or the European Commission or other relevant regulatory authorities to establish the safety and efficacy of our product candidates for continued trial or strategy for marketing approval; and</w:t>
            </w:r>
          </w:p>
        </w:tc>
      </w:tr>
    </w:tbl>
    <w:p>
      <w:pPr>
        <w:pStyle w:val="TextBody"/>
        <w:bidi w:val="0"/>
        <w:spacing w:before="0" w:after="0"/>
        <w:ind w:left="360" w:right="0" w:hanging="0"/>
        <w:jc w:val="left"/>
        <w:rPr/>
      </w:pPr>
      <w:r>
        <w:rPr/>
        <w:t>​</w:t>
      </w:r>
    </w:p>
    <w:tbl>
      <w:tblPr>
        <w:tblW w:w="6831" w:type="dxa"/>
        <w:jc w:val="left"/>
        <w:tblInd w:w="0" w:type="dxa"/>
        <w:tblLayout w:type="fixed"/>
        <w:tblCellMar>
          <w:top w:w="28" w:type="dxa"/>
          <w:left w:w="28" w:type="dxa"/>
          <w:bottom w:w="28" w:type="dxa"/>
          <w:right w:w="28" w:type="dxa"/>
        </w:tblCellMar>
      </w:tblPr>
      <w:tblGrid>
        <w:gridCol w:w="124"/>
        <w:gridCol w:w="256"/>
        <w:gridCol w:w="64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collaborators may be unable or unwilling to perform under their contracts.</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Furthermore, we sometimes estimate for planning purposes the timing of the accomplishment of various scientific, clinical, regulatory and other product development objectives. These milestones may include our expectations regarding the commencement or completion of scientific studies, clinical trials, the submission of regulatory filings or commercialization objectives. From time to time, we may publicly announce the expected timing of some of these milestones, such as the completion of an ongoing clinical trial, the initiation of other clinical programs, the receipt of marketing approval or a commercial launch of a product. The achievement of many of these milestones may be outside of our control. All of these milestones are based on a variety of assumptions, which may cause the timing of achievement of the milestones to vary considerably from our estimates. If we fail to achieve milestones in the timeframes we expect, the commercialization of our product candidates may be delayed, we may not be entitled to receive certain contractual payments, which could have a material adverse effect on our business, financial position, results of operations and future growth prospects</w:t>
      </w:r>
      <w:r>
        <w:rPr>
          <w:rFonts w:ascii="Times New Roman;Times;serif" w:hAnsi="Times New Roman;Times;serif"/>
          <w:sz w:val="20"/>
          <w:shd w:fill="FFFFFF" w:val="clear"/>
        </w:rPr>
        <w:t>.</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We may find it difficult to enroll patients in our clinical trials</w:t>
      </w:r>
      <w:r>
        <w:rPr>
          <w:rFonts w:ascii="Times New Roman;Times;serif" w:hAnsi="Times New Roman;Times;serif"/>
          <w:i/>
          <w:sz w:val="20"/>
        </w:rPr>
        <w:t xml:space="preserve">, </w:t>
      </w:r>
      <w:r>
        <w:rPr>
          <w:rFonts w:ascii="Times New Roman;Times;serif" w:hAnsi="Times New Roman;Times;serif"/>
          <w:b/>
          <w:i/>
          <w:sz w:val="20"/>
        </w:rPr>
        <w:t>which could delay or prevent us from proceeding with clinical trials of our product candidates</w:t>
      </w:r>
      <w:r>
        <w:rPr>
          <w:rFonts w:ascii="Times New Roman;Times;serif" w:hAnsi="Times New Roman;Times;serif"/>
          <w:i/>
          <w:sz w:val="20"/>
        </w:rPr>
        <w: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Identifying and qualifying patients to participate in clinical trials of our product candidates is critical to our success. The timing of our clinical trials depends on our ability to recruit patients to participate as well as the completion of required follow-up periods. Patients may be unwilling to participate in our clinical trials because of negative publicity from adverse events related to novel therapeutic approaches, competitive clinical trials for similar patient populations, the existence of current treatments or for other reasons. Enrollment risks are heightened with respect to certain indications that we may target for one or more of our product candidates that may be rare diseases, which may limit the pool of patients that may be enrolled in our planned clinical trials. The timeline for recruiting patients, conducting trials and obtaining regulatory approval of our product candidates may be delayed, which could result in increased costs, delays in advancing our product candidates, delays in testing the effectiveness of our product candidates or termination of the clinical trials altogether.</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may not be able to identify, recruit and enroll a sufficient number of patients, or those with the required or desired characteristics, to complete our clinical trials in a timely manner. For example, due to the nature of the indications that we are initially targeting, patients with advanced disease progression may not be suitable candidates for treatment with our product candidates and may be ineligible for enrollment in our clinical trials. Therefore, early diagnosis in patients with our target diseases is critical to our success. Patient enrollment and trial completion is affected by factors including the</w:t>
      </w:r>
      <w:r>
        <w:rPr>
          <w:rFonts w:ascii="Times New Roman;Times;serif" w:hAnsi="Times New Roman;Times;serif"/>
          <w:sz w:val="20"/>
          <w:shd w:fill="FFFFFF" w:val="clear"/>
        </w:rPr>
        <w:t>:</w:t>
      </w:r>
    </w:p>
    <w:p>
      <w:pPr>
        <w:pStyle w:val="TextBody"/>
        <w:bidi w:val="0"/>
        <w:spacing w:before="0" w:after="0"/>
        <w:ind w:left="0" w:right="0" w:firstLine="720"/>
        <w:jc w:val="left"/>
        <w:rPr/>
      </w:pPr>
      <w:r>
        <w:rPr/>
        <w:t>​</w:t>
      </w:r>
    </w:p>
    <w:tbl>
      <w:tblPr>
        <w:tblW w:w="5901" w:type="dxa"/>
        <w:jc w:val="left"/>
        <w:tblInd w:w="0" w:type="dxa"/>
        <w:tblLayout w:type="fixed"/>
        <w:tblCellMar>
          <w:top w:w="28" w:type="dxa"/>
          <w:left w:w="28" w:type="dxa"/>
          <w:bottom w:w="28" w:type="dxa"/>
          <w:right w:w="28" w:type="dxa"/>
        </w:tblCellMar>
      </w:tblPr>
      <w:tblGrid>
        <w:gridCol w:w="124"/>
        <w:gridCol w:w="256"/>
        <w:gridCol w:w="55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size of the patient population and process for identifying subjects;</w:t>
            </w:r>
          </w:p>
        </w:tc>
      </w:tr>
    </w:tbl>
    <w:p>
      <w:pPr>
        <w:pStyle w:val="TextBody"/>
        <w:bidi w:val="0"/>
        <w:spacing w:before="0" w:after="0"/>
        <w:ind w:left="360" w:right="0" w:hanging="0"/>
        <w:jc w:val="left"/>
        <w:rPr/>
      </w:pPr>
      <w:r>
        <w:rPr/>
        <w:t>​</w:t>
      </w:r>
    </w:p>
    <w:tbl>
      <w:tblPr>
        <w:tblW w:w="2751" w:type="dxa"/>
        <w:jc w:val="left"/>
        <w:tblInd w:w="0" w:type="dxa"/>
        <w:tblLayout w:type="fixed"/>
        <w:tblCellMar>
          <w:top w:w="28" w:type="dxa"/>
          <w:left w:w="28" w:type="dxa"/>
          <w:bottom w:w="28" w:type="dxa"/>
          <w:right w:w="28" w:type="dxa"/>
        </w:tblCellMar>
      </w:tblPr>
      <w:tblGrid>
        <w:gridCol w:w="124"/>
        <w:gridCol w:w="256"/>
        <w:gridCol w:w="2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 of the trial protocol;</w:t>
            </w:r>
          </w:p>
        </w:tc>
      </w:tr>
    </w:tbl>
    <w:tbl>
      <w:tblPr>
        <w:tblW w:w="3216" w:type="dxa"/>
        <w:jc w:val="left"/>
        <w:tblInd w:w="0" w:type="dxa"/>
        <w:tblLayout w:type="fixed"/>
        <w:tblCellMar>
          <w:top w:w="28" w:type="dxa"/>
          <w:left w:w="28" w:type="dxa"/>
          <w:bottom w:w="28" w:type="dxa"/>
          <w:right w:w="28" w:type="dxa"/>
        </w:tblCellMar>
      </w:tblPr>
      <w:tblGrid>
        <w:gridCol w:w="124"/>
        <w:gridCol w:w="256"/>
        <w:gridCol w:w="28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eligibility and exclusion criteria;</w:t>
            </w:r>
          </w:p>
        </w:tc>
      </w:tr>
    </w:tbl>
    <w:p>
      <w:pPr>
        <w:pStyle w:val="TextBody"/>
        <w:bidi w:val="0"/>
        <w:spacing w:before="0" w:after="0"/>
        <w:ind w:left="360" w:right="0" w:hanging="0"/>
        <w:jc w:val="left"/>
        <w:rPr/>
      </w:pPr>
      <w:r>
        <w:rPr/>
        <w:t>​</w:t>
      </w:r>
    </w:p>
    <w:tbl>
      <w:tblPr>
        <w:tblW w:w="5376" w:type="dxa"/>
        <w:jc w:val="left"/>
        <w:tblInd w:w="0" w:type="dxa"/>
        <w:tblLayout w:type="fixed"/>
        <w:tblCellMar>
          <w:top w:w="28" w:type="dxa"/>
          <w:left w:w="28" w:type="dxa"/>
          <w:bottom w:w="28" w:type="dxa"/>
          <w:right w:w="28" w:type="dxa"/>
        </w:tblCellMar>
      </w:tblPr>
      <w:tblGrid>
        <w:gridCol w:w="124"/>
        <w:gridCol w:w="256"/>
        <w:gridCol w:w="4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safety profile, to date, of the product candidate under study;</w:t>
            </w:r>
          </w:p>
        </w:tc>
      </w:tr>
    </w:tbl>
    <w:p>
      <w:pPr>
        <w:pStyle w:val="TextBody"/>
        <w:bidi w:val="0"/>
        <w:spacing w:before="0" w:after="0"/>
        <w:ind w:left="360" w:right="0" w:hanging="0"/>
        <w:jc w:val="left"/>
        <w:rPr/>
      </w:pPr>
      <w:r>
        <w:rPr/>
        <w:t>​</w:t>
      </w:r>
    </w:p>
    <w:tbl>
      <w:tblPr>
        <w:tblW w:w="5871" w:type="dxa"/>
        <w:jc w:val="left"/>
        <w:tblInd w:w="0" w:type="dxa"/>
        <w:tblLayout w:type="fixed"/>
        <w:tblCellMar>
          <w:top w:w="28" w:type="dxa"/>
          <w:left w:w="28" w:type="dxa"/>
          <w:bottom w:w="28" w:type="dxa"/>
          <w:right w:w="28" w:type="dxa"/>
        </w:tblCellMar>
      </w:tblPr>
      <w:tblGrid>
        <w:gridCol w:w="124"/>
        <w:gridCol w:w="256"/>
        <w:gridCol w:w="54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perceived risks and benefits of the product candidate under study;</w:t>
            </w:r>
          </w:p>
        </w:tc>
      </w:tr>
    </w:tbl>
    <w:p>
      <w:pPr>
        <w:pStyle w:val="TextBody"/>
        <w:bidi w:val="0"/>
        <w:spacing w:before="0" w:after="0"/>
        <w:ind w:left="360" w:right="0" w:hanging="0"/>
        <w:jc w:val="left"/>
        <w:rPr/>
      </w:pPr>
      <w:r>
        <w:rPr/>
        <w:t>​</w:t>
      </w:r>
    </w:p>
    <w:tbl>
      <w:tblPr>
        <w:tblW w:w="6096" w:type="dxa"/>
        <w:jc w:val="left"/>
        <w:tblInd w:w="0" w:type="dxa"/>
        <w:tblLayout w:type="fixed"/>
        <w:tblCellMar>
          <w:top w:w="28" w:type="dxa"/>
          <w:left w:w="28" w:type="dxa"/>
          <w:bottom w:w="28" w:type="dxa"/>
          <w:right w:w="28" w:type="dxa"/>
        </w:tblCellMar>
      </w:tblPr>
      <w:tblGrid>
        <w:gridCol w:w="124"/>
        <w:gridCol w:w="256"/>
        <w:gridCol w:w="5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perceived risks and benefits of our approach to treatment of diseases;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360" w:right="0" w:hanging="0"/>
        <w:jc w:val="left"/>
        <w:rPr/>
      </w:pPr>
      <w:r>
        <w:rPr/>
        <w:t>​</w:t>
      </w:r>
    </w:p>
    <w:tbl>
      <w:tblPr>
        <w:tblW w:w="4896" w:type="dxa"/>
        <w:jc w:val="left"/>
        <w:tblInd w:w="0" w:type="dxa"/>
        <w:tblLayout w:type="fixed"/>
        <w:tblCellMar>
          <w:top w:w="28" w:type="dxa"/>
          <w:left w:w="28" w:type="dxa"/>
          <w:bottom w:w="28" w:type="dxa"/>
          <w:right w:w="28" w:type="dxa"/>
        </w:tblCellMar>
      </w:tblPr>
      <w:tblGrid>
        <w:gridCol w:w="124"/>
        <w:gridCol w:w="256"/>
        <w:gridCol w:w="4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availability of competing therapies and clinical trials;</w:t>
            </w:r>
          </w:p>
        </w:tc>
      </w:tr>
    </w:tbl>
    <w:p>
      <w:pPr>
        <w:pStyle w:val="TextBody"/>
        <w:bidi w:val="0"/>
        <w:spacing w:before="0" w:after="0"/>
        <w:ind w:left="360" w:right="0" w:hanging="0"/>
        <w:jc w:val="left"/>
        <w:rPr/>
      </w:pPr>
      <w:r>
        <w:rPr/>
        <w:t>​</w:t>
      </w:r>
    </w:p>
    <w:tbl>
      <w:tblPr>
        <w:tblW w:w="4011" w:type="dxa"/>
        <w:jc w:val="left"/>
        <w:tblInd w:w="0" w:type="dxa"/>
        <w:tblLayout w:type="fixed"/>
        <w:tblCellMar>
          <w:top w:w="28" w:type="dxa"/>
          <w:left w:w="28" w:type="dxa"/>
          <w:bottom w:w="28" w:type="dxa"/>
          <w:right w:w="28" w:type="dxa"/>
        </w:tblCellMar>
      </w:tblPr>
      <w:tblGrid>
        <w:gridCol w:w="124"/>
        <w:gridCol w:w="256"/>
        <w:gridCol w:w="3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severity of the disease under investigation;</w:t>
            </w:r>
          </w:p>
        </w:tc>
      </w:tr>
    </w:tbl>
    <w:p>
      <w:pPr>
        <w:pStyle w:val="TextBody"/>
        <w:bidi w:val="0"/>
        <w:spacing w:before="0" w:after="0"/>
        <w:ind w:left="360" w:right="0" w:hanging="0"/>
        <w:jc w:val="left"/>
        <w:rPr/>
      </w:pPr>
      <w:r>
        <w:rPr/>
        <w:t>​</w:t>
      </w:r>
    </w:p>
    <w:tbl>
      <w:tblPr>
        <w:tblW w:w="6276" w:type="dxa"/>
        <w:jc w:val="left"/>
        <w:tblInd w:w="0" w:type="dxa"/>
        <w:tblLayout w:type="fixed"/>
        <w:tblCellMar>
          <w:top w:w="28" w:type="dxa"/>
          <w:left w:w="28" w:type="dxa"/>
          <w:bottom w:w="28" w:type="dxa"/>
          <w:right w:w="28" w:type="dxa"/>
        </w:tblCellMar>
      </w:tblPr>
      <w:tblGrid>
        <w:gridCol w:w="124"/>
        <w:gridCol w:w="256"/>
        <w:gridCol w:w="58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degree of progression of the subject’s disease at the time of enrollment;</w:t>
            </w:r>
          </w:p>
        </w:tc>
      </w:tr>
    </w:tbl>
    <w:p>
      <w:pPr>
        <w:pStyle w:val="TextBody"/>
        <w:bidi w:val="0"/>
        <w:spacing w:before="0" w:after="0"/>
        <w:ind w:left="360" w:right="0" w:hanging="0"/>
        <w:jc w:val="left"/>
        <w:rPr/>
      </w:pPr>
      <w:r>
        <w:rPr/>
        <w:t>​</w:t>
      </w:r>
    </w:p>
    <w:tbl>
      <w:tblPr>
        <w:tblW w:w="6351" w:type="dxa"/>
        <w:jc w:val="left"/>
        <w:tblInd w:w="0" w:type="dxa"/>
        <w:tblLayout w:type="fixed"/>
        <w:tblCellMar>
          <w:top w:w="28" w:type="dxa"/>
          <w:left w:w="28" w:type="dxa"/>
          <w:bottom w:w="28" w:type="dxa"/>
          <w:right w:w="28" w:type="dxa"/>
        </w:tblCellMar>
      </w:tblPr>
      <w:tblGrid>
        <w:gridCol w:w="124"/>
        <w:gridCol w:w="256"/>
        <w:gridCol w:w="59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proximity and availability of clinical trial sites for prospective subjects;</w:t>
            </w:r>
          </w:p>
        </w:tc>
      </w:tr>
    </w:tbl>
    <w:p>
      <w:pPr>
        <w:pStyle w:val="TextBody"/>
        <w:bidi w:val="0"/>
        <w:spacing w:before="0" w:after="0"/>
        <w:ind w:left="360" w:right="0" w:hanging="0"/>
        <w:jc w:val="left"/>
        <w:rPr/>
      </w:pPr>
      <w:r>
        <w:rPr/>
        <w:t>​</w:t>
      </w:r>
    </w:p>
    <w:tbl>
      <w:tblPr>
        <w:tblW w:w="4326" w:type="dxa"/>
        <w:jc w:val="left"/>
        <w:tblInd w:w="0" w:type="dxa"/>
        <w:tblLayout w:type="fixed"/>
        <w:tblCellMar>
          <w:top w:w="28" w:type="dxa"/>
          <w:left w:w="28" w:type="dxa"/>
          <w:bottom w:w="28" w:type="dxa"/>
          <w:right w:w="28" w:type="dxa"/>
        </w:tblCellMar>
      </w:tblPr>
      <w:tblGrid>
        <w:gridCol w:w="124"/>
        <w:gridCol w:w="256"/>
        <w:gridCol w:w="3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ability to obtain and maintain subject consent;</w:t>
            </w:r>
          </w:p>
        </w:tc>
      </w:tr>
    </w:tbl>
    <w:p>
      <w:pPr>
        <w:pStyle w:val="TextBody"/>
        <w:bidi w:val="0"/>
        <w:spacing w:before="0" w:after="0"/>
        <w:ind w:left="360" w:right="0" w:hanging="0"/>
        <w:jc w:val="left"/>
        <w:rPr/>
      </w:pPr>
      <w:r>
        <w:rPr/>
        <w:t>​</w:t>
      </w:r>
    </w:p>
    <w:tbl>
      <w:tblPr>
        <w:tblW w:w="6186" w:type="dxa"/>
        <w:jc w:val="left"/>
        <w:tblInd w:w="0" w:type="dxa"/>
        <w:tblLayout w:type="fixed"/>
        <w:tblCellMar>
          <w:top w:w="28" w:type="dxa"/>
          <w:left w:w="28" w:type="dxa"/>
          <w:bottom w:w="28" w:type="dxa"/>
          <w:right w:w="28" w:type="dxa"/>
        </w:tblCellMar>
      </w:tblPr>
      <w:tblGrid>
        <w:gridCol w:w="124"/>
        <w:gridCol w:w="256"/>
        <w:gridCol w:w="5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that enrolled subjects will drop out before completion of the trial;</w:t>
            </w:r>
          </w:p>
        </w:tc>
      </w:tr>
    </w:tbl>
    <w:p>
      <w:pPr>
        <w:pStyle w:val="TextBody"/>
        <w:pBdr/>
        <w:bidi w:val="0"/>
        <w:spacing w:before="0" w:after="0"/>
        <w:ind w:left="720" w:right="0" w:hanging="360"/>
        <w:jc w:val="left"/>
        <w:rPr/>
      </w:pPr>
      <w:r>
        <w:rPr/>
        <w:t>​</w:t>
      </w:r>
    </w:p>
    <w:tbl>
      <w:tblPr>
        <w:tblW w:w="4011" w:type="dxa"/>
        <w:jc w:val="left"/>
        <w:tblInd w:w="0" w:type="dxa"/>
        <w:tblLayout w:type="fixed"/>
        <w:tblCellMar>
          <w:top w:w="28" w:type="dxa"/>
          <w:left w:w="28" w:type="dxa"/>
          <w:bottom w:w="28" w:type="dxa"/>
          <w:right w:w="28" w:type="dxa"/>
        </w:tblCellMar>
      </w:tblPr>
      <w:tblGrid>
        <w:gridCol w:w="124"/>
        <w:gridCol w:w="256"/>
        <w:gridCol w:w="3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patient referral practices of physicians; and</w:t>
            </w:r>
          </w:p>
        </w:tc>
      </w:tr>
    </w:tbl>
    <w:p>
      <w:pPr>
        <w:pStyle w:val="TextBody"/>
        <w:bidi w:val="0"/>
        <w:spacing w:before="0" w:after="0"/>
        <w:ind w:left="360" w:right="0" w:hanging="0"/>
        <w:jc w:val="left"/>
        <w:rPr/>
      </w:pPr>
      <w:r>
        <w:rPr/>
        <w:t>​</w:t>
      </w:r>
    </w:p>
    <w:tbl>
      <w:tblPr>
        <w:tblW w:w="5811" w:type="dxa"/>
        <w:jc w:val="left"/>
        <w:tblInd w:w="0" w:type="dxa"/>
        <w:tblLayout w:type="fixed"/>
        <w:tblCellMar>
          <w:top w:w="28" w:type="dxa"/>
          <w:left w:w="28" w:type="dxa"/>
          <w:bottom w:w="28" w:type="dxa"/>
          <w:right w:w="28" w:type="dxa"/>
        </w:tblCellMar>
      </w:tblPr>
      <w:tblGrid>
        <w:gridCol w:w="124"/>
        <w:gridCol w:w="256"/>
        <w:gridCol w:w="5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ability to monitor subjects adequately during and after treatment.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addition, clinical testing of our product candidates generally is performed in multiple jurisdictions, including countries outside of the United States. Our ability to successfully initiate, enroll and complete a clinical trial in any foreign country is subject to numerous risks unique to conducting business in foreign countries, including:</w:t>
      </w:r>
    </w:p>
    <w:p>
      <w:pPr>
        <w:pStyle w:val="TextBody"/>
        <w:bidi w:val="0"/>
        <w:spacing w:before="0" w:after="0"/>
        <w:ind w:left="0" w:right="0" w:hanging="0"/>
        <w:jc w:val="left"/>
        <w:rPr/>
      </w:pPr>
      <w:r>
        <w:rPr/>
        <w:t>​</w:t>
      </w:r>
    </w:p>
    <w:tbl>
      <w:tblPr>
        <w:tblW w:w="8661" w:type="dxa"/>
        <w:jc w:val="left"/>
        <w:tblInd w:w="0" w:type="dxa"/>
        <w:tblLayout w:type="fixed"/>
        <w:tblCellMar>
          <w:top w:w="28" w:type="dxa"/>
          <w:left w:w="28" w:type="dxa"/>
          <w:bottom w:w="28" w:type="dxa"/>
          <w:right w:w="28" w:type="dxa"/>
        </w:tblCellMar>
      </w:tblPr>
      <w:tblGrid>
        <w:gridCol w:w="124"/>
        <w:gridCol w:w="256"/>
        <w:gridCol w:w="82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difficulty in establishing or managing relationships with academic partners or CROs and physicians;</w:t>
            </w:r>
          </w:p>
        </w:tc>
      </w:tr>
    </w:tbl>
    <w:p>
      <w:pPr>
        <w:pStyle w:val="TextBody"/>
        <w:bidi w:val="0"/>
        <w:spacing w:before="0" w:after="0"/>
        <w:ind w:left="360" w:right="0" w:hanging="0"/>
        <w:jc w:val="left"/>
        <w:rPr/>
      </w:pPr>
      <w:r>
        <w:rPr/>
        <w:t>​</w:t>
      </w:r>
    </w:p>
    <w:tbl>
      <w:tblPr>
        <w:tblW w:w="4686" w:type="dxa"/>
        <w:jc w:val="left"/>
        <w:tblInd w:w="0" w:type="dxa"/>
        <w:tblLayout w:type="fixed"/>
        <w:tblCellMar>
          <w:top w:w="28" w:type="dxa"/>
          <w:left w:w="28" w:type="dxa"/>
          <w:bottom w:w="28" w:type="dxa"/>
          <w:right w:w="28" w:type="dxa"/>
        </w:tblCellMar>
      </w:tblPr>
      <w:tblGrid>
        <w:gridCol w:w="124"/>
        <w:gridCol w:w="256"/>
        <w:gridCol w:w="43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different standards for the conduct of clinical trials;</w:t>
            </w:r>
          </w:p>
        </w:tc>
      </w:tr>
    </w:tbl>
    <w:p>
      <w:pPr>
        <w:pStyle w:val="TextBody"/>
        <w:bidi w:val="0"/>
        <w:spacing w:before="0" w:after="0"/>
        <w:ind w:left="36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absence in some countries of established groups with sufficient regulatory expertise for review of protocols related to our novel approach;</w:t>
            </w:r>
          </w:p>
        </w:tc>
      </w:tr>
    </w:tbl>
    <w:p>
      <w:pPr>
        <w:pStyle w:val="TextBody"/>
        <w:bidi w:val="0"/>
        <w:spacing w:before="0" w:after="0"/>
        <w:ind w:left="360" w:right="0" w:hanging="0"/>
        <w:jc w:val="left"/>
        <w:rPr/>
      </w:pPr>
      <w:r>
        <w:rPr/>
        <w:t>​</w:t>
      </w:r>
    </w:p>
    <w:tbl>
      <w:tblPr>
        <w:tblW w:w="6906" w:type="dxa"/>
        <w:jc w:val="left"/>
        <w:tblInd w:w="0" w:type="dxa"/>
        <w:tblLayout w:type="fixed"/>
        <w:tblCellMar>
          <w:top w:w="28" w:type="dxa"/>
          <w:left w:w="28" w:type="dxa"/>
          <w:bottom w:w="28" w:type="dxa"/>
          <w:right w:w="28" w:type="dxa"/>
        </w:tblCellMar>
      </w:tblPr>
      <w:tblGrid>
        <w:gridCol w:w="124"/>
        <w:gridCol w:w="256"/>
        <w:gridCol w:w="6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locate qualified local consultants, physicians and partners; and</w:t>
            </w:r>
          </w:p>
        </w:tc>
      </w:tr>
    </w:tbl>
    <w:p>
      <w:pPr>
        <w:pStyle w:val="TextBody"/>
        <w:bidi w:val="0"/>
        <w:spacing w:before="0" w:after="0"/>
        <w:ind w:left="36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burden of complying with a variety of foreign laws, medical standards and regulatory requirements, including the regulation of pharmaceutical and biotechnology products and treatment.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If we have difficulty enrolling a sufficient number of patients to conduct our clinical trials as planned, we may need to delay, limit or terminate ongoing or planned clinical trials, any of which would have an adverse effect on our business, financial condition, results of operations and prospects.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Results of preclinical studies and early clinical trials may not be predictive of results of future clinical trials</w:t>
      </w:r>
      <w:r>
        <w:rPr>
          <w:rFonts w:ascii="Times New Roman;Times;serif" w:hAnsi="Times New Roman;Times;serif"/>
          <w:i/>
          <w:sz w:val="20"/>
        </w:rPr>
        <w: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outcome of preclinical studies and early clinical trials may not be predictive of the success of later clinical trials, and preliminary or interim results of clinical trials do not necessarily predict success in the results of completed clinical trials. Many companies in the pharmaceutical and biotechnology industries have suffered significant setbacks in late-stage clinical trials after achieving positive results in earlier development, and we could face similar setbacks. For example, the interim results of our company-sponsored Phase I/II clinical trials of nuzefatide pevedotin and zelenectide pevedotin, including specific patient responses we have observed and disclosed, may not be replicated in the completed data sets or in future trials at global clinical trial sites in a later stage clinical trial conducted by us or our collaborators. The design of a clinical trial can determine whether its results will support approval of a product and flaws in the design of a clinical trial may not become apparent until the clinical trial is well advanced. We have limited experience in designing late-stage clinical trials and may be unable to design and execute a clinical trial to support marketing approval.</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Preclinical and clinical data are often susceptible to varying interpretations and analyses. Many companies that believed their product candidates performed satisfactorily in preclinical studies and clinical trials have nonetheless failed to obtain marketing approval for the product candidates. Even if we, or any collaborators, believe that the results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clinical trials for our product candidates warrant marketing approval, the FDA or comparable foreign regulatory authorities may disagree and may not grant marketing approval of our product candidates.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our ability to enroll trial participants, changes in and adherence to the dosing regimen and other clinical trial protocols and the rate of dropout among clinical trial participants. If we fail to receive positive results in clinical trials of our product candidates, the development timeline and regulatory approval and commercialization prospects for our most advanced product candidates, and, correspondingly, our business and financial prospects would be negatively impacted</w:t>
      </w:r>
      <w:r>
        <w:rPr>
          <w:rFonts w:ascii="Times New Roman;Times;serif" w:hAnsi="Times New Roman;Times;serif"/>
          <w:sz w:val="20"/>
          <w:shd w:fill="FFFFFF" w:val="clea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Failure to successfully validate</w:t>
      </w:r>
      <w:r>
        <w:rPr>
          <w:rFonts w:ascii="Times New Roman;Times;serif" w:hAnsi="Times New Roman;Times;serif"/>
          <w:i/>
          <w:sz w:val="20"/>
        </w:rPr>
        <w:t xml:space="preserve">, </w:t>
      </w:r>
      <w:r>
        <w:rPr>
          <w:rFonts w:ascii="Times New Roman;Times;serif" w:hAnsi="Times New Roman;Times;serif"/>
          <w:b/>
          <w:i/>
          <w:sz w:val="20"/>
        </w:rPr>
        <w:t>develop and obtain regulatory approval for companion diagnostics could harm our drug development strategy</w:t>
      </w:r>
      <w:r>
        <w:rPr>
          <w:rFonts w:ascii="Times New Roman;Times;serif" w:hAnsi="Times New Roman;Times;serif"/>
          <w:i/>
          <w:sz w:val="20"/>
        </w:rPr>
        <w: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may employ companion diagnostics to help us more accurately identify patients within a particular subset, both during our clinical trials and in connection with the commercialization of our product candidates that we are developing or may in the future develop. Companion diagnostics are subject to regulation by the FDA and comparable foreign regulatory authorities as medical devices and require separate regulatory approval or certification prior to commercialization. In the EEA (and Northern Ireland), in order to place an in vitro diagnostic medical device on the market, the device must be designed, developed, manufactured and marketed in compliance with the Regulation on In-Vitro Diagnostic Devices (Regulation (EU) 2017/746), which is a lengthy and costly process.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do not develop companion diagnostics internally and thus we will be dependent on the sustained cooperation and effort of our third-party collaborators in developing and obtaining approval or certification for these companion diagnostics. There can be no guarantees that we will successfully find a suitable collaborator to develop companion diagnostics. We and our collaborators may encounter difficulties in developing and obtaining approval or certification for the companion diagnostics, including issues relating to selectivity/specificity, analytical validation, reproducibility, or clinical validation. Any delay or failure by our collaborators to develop or obtain regulatory approval or certification of the companion diagnostics could delay or prevent approval of our product candidates. In addition, our collaborators may encounter production difficulties that could constrain the supply of the companion diagnostics, and both they and we may have difficulties gaining acceptance of the use of the companion diagnostics in the clinical community or difficulties obtaining insurance coverage and reimbursement from private insurance or government payors. If such companion diagnostics fail to gain market acceptance, our ability to derive revenues from sales of any products, if approved, will be adversely affected. In addition, the diagnostic company with whom we contract may decide to discontinue selling or manufacturing the companion diagnostic that we anticipate using in connection with development and commercialization of our product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product candidates or do so on commercially reasonable terms, which could adversely affect and/or delay the development or commercialization of our product candidates</w:t>
      </w:r>
      <w:r>
        <w:rPr>
          <w:rFonts w:ascii="Times New Roman;Times;serif" w:hAnsi="Times New Roman;Times;serif"/>
          <w:sz w:val="20"/>
          <w:shd w:fill="FFFFFF" w:val="clear"/>
        </w:rPr>
        <w:t>.</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Our current or future product candidates may cause undesirable side effects or have other properties when used alone or in combination with other approved products or investigational new drugs that could halt their clinical development</w:t>
      </w:r>
      <w:r>
        <w:rPr>
          <w:rFonts w:ascii="Times New Roman;Times;serif" w:hAnsi="Times New Roman;Times;serif"/>
          <w:i/>
          <w:sz w:val="20"/>
        </w:rPr>
        <w:t xml:space="preserve">, </w:t>
      </w:r>
      <w:r>
        <w:rPr>
          <w:rFonts w:ascii="Times New Roman;Times;serif" w:hAnsi="Times New Roman;Times;serif"/>
          <w:b/>
          <w:i/>
          <w:sz w:val="20"/>
        </w:rPr>
        <w:t>prevent their marketing approval</w:t>
      </w:r>
      <w:r>
        <w:rPr>
          <w:rFonts w:ascii="Times New Roman;Times;serif" w:hAnsi="Times New Roman;Times;serif"/>
          <w:i/>
          <w:sz w:val="20"/>
        </w:rPr>
        <w:t xml:space="preserve">, </w:t>
      </w:r>
      <w:r>
        <w:rPr>
          <w:rFonts w:ascii="Times New Roman;Times;serif" w:hAnsi="Times New Roman;Times;serif"/>
          <w:b/>
          <w:i/>
          <w:sz w:val="20"/>
        </w:rPr>
        <w:t>limit their commercial potential or result in significant negative consequences</w:t>
      </w:r>
      <w:r>
        <w:rPr>
          <w:rFonts w:ascii="Times New Roman;Times;serif" w:hAnsi="Times New Roman;Times;serif"/>
          <w:i/>
          <w:sz w:val="20"/>
        </w:rPr>
        <w: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Undesirable or clinically unmanageable side effects could occur and cause us or regulatory authorities to interrupt, delay or halt clinical trials and could result in a more restrictive label or the delay or denial of marketing approval by the FDA or comparable foreign regulatory authorities. Results of our trials could reveal a high and unacceptable severity and prevalence of side effects or unexpected characteristics. If unacceptable side effect profiles arise, or side effects beyond those identified to date develop or worsen, as we continue development of our current or future product candidates, we, the FDA or comparable foreign regulatory authorities, the Institutional Review Boards, or IRBs, or independent ethics committees at the institutions in which our studies are conducted, or Safety Review Committees could suspend or terminate our clinical trials or the FDA or comparable foreign regulatory authorities could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order us to cease clinical trials or deny approval of our product candidates for any or all targeted indications. Treatment-related side effects could also affect patient recruitment or the ability of enrolled subjects to complete the trial, cause delays in ongoing clinical trials, or result in potential product liability claims. In addition, these side effects may not be appropriately recognized or managed by the treating medical staff. We may be required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patient injury or death. Any of these occurrences may prevent us from achieving or maintaining market acceptance of the affected product candidate and may harm our business, financial condition and prospects significantly.</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Three of our product candidates are currently undergoing safety testing in the form of Phase I/II or Phase II clinical trials. None of our products have completed this testing to date. While our current and future product candidates will undergo safety testing to the extent possible and, where applicable, under such conditions discussed with regulatory authorities, not all adverse effects of drugs can be predicted or anticipated. Unforeseen side effects could arise either during clinical development or, if such side effects are rarer, after our products have been approved by regulatory authorities and the approved product has been marketed, resulting in the exposure of additional patients. So far, we have not demonstrated, and we cannot predict if ongoing or future clinical trials will demonstrate, that nuzefatide pevedotin, zelenectide pevedotin, or any other of our product candidates are safe in humans.</w:t>
      </w:r>
    </w:p>
    <w:p>
      <w:pPr>
        <w:pStyle w:val="TextBody"/>
        <w:bidi w:val="0"/>
        <w:spacing w:before="0" w:after="0"/>
        <w:ind w:left="0" w:right="0" w:hanging="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Moreover, clinical trials of our product candidates are conducted in carefully defined 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 If, following approval of a product candidate, we, or others, discover that the product is less effective than previously believed or causes undesirable side effects that were not previously identified, any of the following consequences could occur:</w:t>
      </w:r>
    </w:p>
    <w:p>
      <w:pPr>
        <w:pStyle w:val="TextBody"/>
        <w:bidi w:val="0"/>
        <w:spacing w:before="0" w:after="0"/>
        <w:ind w:left="0" w:right="0" w:hanging="0"/>
        <w:jc w:val="left"/>
        <w:rPr/>
      </w:pPr>
      <w:r>
        <w:rPr/>
        <w:t>​</w:t>
      </w:r>
    </w:p>
    <w:tbl>
      <w:tblPr>
        <w:tblW w:w="7536" w:type="dxa"/>
        <w:jc w:val="left"/>
        <w:tblInd w:w="0" w:type="dxa"/>
        <w:tblLayout w:type="fixed"/>
        <w:tblCellMar>
          <w:top w:w="28" w:type="dxa"/>
          <w:left w:w="28" w:type="dxa"/>
          <w:bottom w:w="28" w:type="dxa"/>
          <w:right w:w="28" w:type="dxa"/>
        </w:tblCellMar>
      </w:tblPr>
      <w:tblGrid>
        <w:gridCol w:w="124"/>
        <w:gridCol w:w="256"/>
        <w:gridCol w:w="71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may withdraw their approval of the product or seize the product;</w:t>
            </w:r>
          </w:p>
        </w:tc>
      </w:tr>
    </w:tbl>
    <w:p>
      <w:pPr>
        <w:pStyle w:val="TextBody"/>
        <w:bidi w:val="0"/>
        <w:spacing w:before="0" w:after="0"/>
        <w:ind w:left="36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any collaborators, may need to recall the product, or be required to change the way the product is administered or conduct additional clinical trials;</w:t>
            </w:r>
          </w:p>
        </w:tc>
      </w:tr>
    </w:tbl>
    <w:p>
      <w:pPr>
        <w:pStyle w:val="TextBody"/>
        <w:bidi w:val="0"/>
        <w:spacing w:before="0" w:after="0"/>
        <w:ind w:left="360" w:right="0" w:hanging="0"/>
        <w:jc w:val="left"/>
        <w:rPr/>
      </w:pPr>
      <w:r>
        <w:rPr/>
        <w:t>​</w:t>
      </w:r>
    </w:p>
    <w:tbl>
      <w:tblPr>
        <w:tblW w:w="10086" w:type="dxa"/>
        <w:jc w:val="left"/>
        <w:tblInd w:w="0" w:type="dxa"/>
        <w:tblLayout w:type="fixed"/>
        <w:tblCellMar>
          <w:top w:w="28" w:type="dxa"/>
          <w:left w:w="28" w:type="dxa"/>
          <w:bottom w:w="28" w:type="dxa"/>
          <w:right w:w="28" w:type="dxa"/>
        </w:tblCellMar>
      </w:tblPr>
      <w:tblGrid>
        <w:gridCol w:w="124"/>
        <w:gridCol w:w="256"/>
        <w:gridCol w:w="9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restrictions may be imposed on the marketing of, or the manufacturing processes for, the particular product;</w:t>
            </w:r>
          </w:p>
        </w:tc>
      </w:tr>
    </w:tbl>
    <w:p>
      <w:pPr>
        <w:pStyle w:val="TextBody"/>
        <w:bidi w:val="0"/>
        <w:spacing w:before="0" w:after="0"/>
        <w:ind w:left="360" w:right="0" w:hanging="0"/>
        <w:jc w:val="left"/>
        <w:rPr/>
      </w:pPr>
      <w:r>
        <w:rPr/>
        <w:t>​</w:t>
      </w:r>
    </w:p>
    <w:tbl>
      <w:tblPr>
        <w:tblW w:w="7521" w:type="dxa"/>
        <w:jc w:val="left"/>
        <w:tblInd w:w="0" w:type="dxa"/>
        <w:tblLayout w:type="fixed"/>
        <w:tblCellMar>
          <w:top w:w="28" w:type="dxa"/>
          <w:left w:w="28" w:type="dxa"/>
          <w:bottom w:w="28" w:type="dxa"/>
          <w:right w:w="28" w:type="dxa"/>
        </w:tblCellMar>
      </w:tblPr>
      <w:tblGrid>
        <w:gridCol w:w="124"/>
        <w:gridCol w:w="256"/>
        <w:gridCol w:w="71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to fines, injunctions or the imposition of civil or criminal penalties;</w:t>
            </w:r>
          </w:p>
        </w:tc>
      </w:tr>
    </w:tbl>
    <w:p>
      <w:pPr>
        <w:pStyle w:val="TextBody"/>
        <w:bidi w:val="0"/>
        <w:spacing w:before="0" w:after="0"/>
        <w:ind w:left="360" w:right="0" w:hanging="0"/>
        <w:jc w:val="left"/>
        <w:rPr/>
      </w:pPr>
      <w:r>
        <w:rPr/>
        <w:t>​</w:t>
      </w:r>
    </w:p>
    <w:tbl>
      <w:tblPr>
        <w:tblW w:w="10026" w:type="dxa"/>
        <w:jc w:val="left"/>
        <w:tblInd w:w="0" w:type="dxa"/>
        <w:tblLayout w:type="fixed"/>
        <w:tblCellMar>
          <w:top w:w="28" w:type="dxa"/>
          <w:left w:w="28" w:type="dxa"/>
          <w:bottom w:w="28" w:type="dxa"/>
          <w:right w:w="28" w:type="dxa"/>
        </w:tblCellMar>
      </w:tblPr>
      <w:tblGrid>
        <w:gridCol w:w="124"/>
        <w:gridCol w:w="256"/>
        <w:gridCol w:w="9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may require the addition of labeling statements, such as a boxed warning or a contraindication;</w:t>
            </w:r>
          </w:p>
        </w:tc>
      </w:tr>
    </w:tbl>
    <w:p>
      <w:pPr>
        <w:pStyle w:val="TextBody"/>
        <w:pBdr/>
        <w:bidi w:val="0"/>
        <w:spacing w:before="0" w:after="0"/>
        <w:ind w:left="720" w:right="0" w:hanging="36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any collaborators, may be required to create a medication guide outlining the risks of the previously unidentified side effects for distribution to patients;</w:t>
            </w:r>
          </w:p>
        </w:tc>
      </w:tr>
    </w:tbl>
    <w:tbl>
      <w:tblPr>
        <w:tblW w:w="7221" w:type="dxa"/>
        <w:jc w:val="left"/>
        <w:tblInd w:w="0" w:type="dxa"/>
        <w:tblLayout w:type="fixed"/>
        <w:tblCellMar>
          <w:top w:w="28" w:type="dxa"/>
          <w:left w:w="28" w:type="dxa"/>
          <w:bottom w:w="28" w:type="dxa"/>
          <w:right w:w="28" w:type="dxa"/>
        </w:tblCellMar>
      </w:tblPr>
      <w:tblGrid>
        <w:gridCol w:w="124"/>
        <w:gridCol w:w="256"/>
        <w:gridCol w:w="68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any collaborators, could be sued and held liable for harm caused to patients;</w:t>
            </w:r>
          </w:p>
        </w:tc>
      </w:tr>
    </w:tbl>
    <w:p>
      <w:pPr>
        <w:pStyle w:val="TextBody"/>
        <w:bidi w:val="0"/>
        <w:spacing w:before="0" w:after="0"/>
        <w:ind w:left="360" w:right="0" w:hanging="0"/>
        <w:jc w:val="left"/>
        <w:rPr/>
      </w:pPr>
      <w:r>
        <w:rPr/>
        <w:t>​</w:t>
      </w:r>
    </w:p>
    <w:tbl>
      <w:tblPr>
        <w:tblW w:w="4296" w:type="dxa"/>
        <w:jc w:val="left"/>
        <w:tblInd w:w="0" w:type="dxa"/>
        <w:tblLayout w:type="fixed"/>
        <w:tblCellMar>
          <w:top w:w="28" w:type="dxa"/>
          <w:left w:w="28" w:type="dxa"/>
          <w:bottom w:w="28" w:type="dxa"/>
          <w:right w:w="28" w:type="dxa"/>
        </w:tblCellMar>
      </w:tblPr>
      <w:tblGrid>
        <w:gridCol w:w="124"/>
        <w:gridCol w:w="256"/>
        <w:gridCol w:w="39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product may become less competitive; and</w:t>
            </w:r>
          </w:p>
        </w:tc>
      </w:tr>
    </w:tbl>
    <w:p>
      <w:pPr>
        <w:pStyle w:val="TextBody"/>
        <w:bidi w:val="0"/>
        <w:spacing w:before="0" w:after="0"/>
        <w:ind w:left="360" w:right="0" w:hanging="0"/>
        <w:jc w:val="left"/>
        <w:rPr/>
      </w:pPr>
      <w:r>
        <w:rPr/>
        <w:t>​</w:t>
      </w:r>
    </w:p>
    <w:tbl>
      <w:tblPr>
        <w:tblW w:w="2616" w:type="dxa"/>
        <w:jc w:val="left"/>
        <w:tblInd w:w="0" w:type="dxa"/>
        <w:tblLayout w:type="fixed"/>
        <w:tblCellMar>
          <w:top w:w="28" w:type="dxa"/>
          <w:left w:w="28" w:type="dxa"/>
          <w:bottom w:w="28" w:type="dxa"/>
          <w:right w:w="28" w:type="dxa"/>
        </w:tblCellMar>
      </w:tblPr>
      <w:tblGrid>
        <w:gridCol w:w="124"/>
        <w:gridCol w:w="256"/>
        <w:gridCol w:w="2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reputation may suffer.</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If any of our current or future product candidates fail to demonstrate safety and efficacy in clinical trials or do not gain marketing approval, we will not be able to generate revenue and our business will be harmed. Any of these events could harm our business and operations, and could negatively impact the price of our ADSs.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We may be delayed or may not be successful in our efforts to identify or discover additional product candidates</w:t>
      </w:r>
      <w:r>
        <w:rPr>
          <w:rFonts w:ascii="Times New Roman;Times;serif" w:hAnsi="Times New Roman;Times;serif"/>
          <w:i/>
          <w:sz w:val="20"/>
        </w:rPr>
        <w:t>.</w:t>
      </w:r>
    </w:p>
    <w:p>
      <w:pPr>
        <w:pStyle w:val="TextBody"/>
        <w:bidi w:val="0"/>
        <w:spacing w:before="0" w:after="0"/>
        <w:ind w:left="0" w:right="0" w:hanging="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Although we intend to utilize our Bicycle screening platform to explore other therapeutic opportunities in addition to the product candidates that we are currently developing, we may fail to identify other product candidates for clinical development for a number of reasons. For example, our research methodology may not be successful in identifying potential product candidates or those we identify may be shown to have harmful side effects or other characteristics that make them unmarketable or unlikely to receive regulatory approval. A key part of our strategy is to utilize our screening technology to identify product candidates to pursue in clinical development. Such product candidates will require additional, time-consuming development efforts prior to commercial sale, including preclinical studies, clinical trials and approval by the FDA and/or applicable foreign regulatory authorities. All product candidates are prone to the risks of failure that are inherent in pharmaceutical product development. If we fail to identify and develop additional potential product candidates, we may be unable to grow our business and our results of operations could be materially harmed.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We may expend our limited resources to pursue a particular development strategy, product candidate or indication and fail to capitalize on strategies, product candidates or indications that may be more profitable or for which there is a greater likelihood of success</w:t>
      </w:r>
      <w:r>
        <w:rPr>
          <w:rFonts w:ascii="Times New Roman;Times;serif" w:hAnsi="Times New Roman;Times;serif"/>
          <w:i/>
          <w:sz w:val="20"/>
        </w:rPr>
        <w: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March 2026, we announced the strategic reprioritization of our clinical portfolio to focus on our promising pipeline of next-generation therapeutics, including nuzefatide pevedotin as well as next-generation Bicycle conjugates, including BRC molecules. While dose selection data from the Duravelo-2 clinical trial for zelenectide pevedotin are promising, demonstrating response rates comparable to published rates for existing standards of care and a differentiated safety profile, we converted the Phase II/III Duravelo-2 registrational trial to a randomized Phase II clinical trial and have deprioritized the program for internal development while we evaluate next steps for the program following preliminary feedback from regulatory agencies. In addition, as part of the strategic reprioritization, the Phase I/II clinical trials evaluating zelenectide pevedotin in patients with NECTIN4 amplified advanced breast cancer and NECTIN4 amplified advanced or metastatic non-small cell lung cancer are being discontinued. Further enrollment in these trials is closed and patients already enrolled will complete their course of treatment.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Because we have limited financial and managerial resources, we intend to focus on developing product candidates for specific indications that we identify as most likely to succeed, in terms of both their potential for marketing approval and commercialization. As a result, we may forego or delay pursuit of opportunities with other product candidates or for other indications that may prove to have greater commercial potential.</w:t>
      </w:r>
    </w:p>
    <w:p>
      <w:pPr>
        <w:pStyle w:val="TextBody"/>
        <w:bidi w:val="0"/>
        <w:spacing w:before="0" w:after="0"/>
        <w:ind w:left="0" w:right="0" w:hanging="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past resource allocation decisions, and those we may make in the future, may cause us to fail to capitalize on viable commercial products or profitable market opportunities. Our spending on current and future research and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the product candidate.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We face potential product liability</w:t>
      </w:r>
      <w:r>
        <w:rPr>
          <w:rFonts w:ascii="Times New Roman;Times;serif" w:hAnsi="Times New Roman;Times;serif"/>
          <w:i/>
          <w:sz w:val="20"/>
        </w:rPr>
        <w:t xml:space="preserve">, </w:t>
      </w:r>
      <w:r>
        <w:rPr>
          <w:rFonts w:ascii="Times New Roman;Times;serif" w:hAnsi="Times New Roman;Times;serif"/>
          <w:b/>
          <w:i/>
          <w:sz w:val="20"/>
        </w:rPr>
        <w:t>and</w:t>
      </w:r>
      <w:r>
        <w:rPr>
          <w:rFonts w:ascii="Times New Roman;Times;serif" w:hAnsi="Times New Roman;Times;serif"/>
          <w:i/>
          <w:sz w:val="20"/>
        </w:rPr>
        <w:t xml:space="preserve">, </w:t>
      </w:r>
      <w:r>
        <w:rPr>
          <w:rFonts w:ascii="Times New Roman;Times;serif" w:hAnsi="Times New Roman;Times;serif"/>
          <w:b/>
          <w:i/>
          <w:sz w:val="20"/>
        </w:rPr>
        <w:t>if successful claims are brought against us</w:t>
      </w:r>
      <w:r>
        <w:rPr>
          <w:rFonts w:ascii="Times New Roman;Times;serif" w:hAnsi="Times New Roman;Times;serif"/>
          <w:i/>
          <w:sz w:val="20"/>
        </w:rPr>
        <w:t xml:space="preserve">, </w:t>
      </w:r>
      <w:r>
        <w:rPr>
          <w:rFonts w:ascii="Times New Roman;Times;serif" w:hAnsi="Times New Roman;Times;serif"/>
          <w:b/>
          <w:i/>
          <w:sz w:val="20"/>
        </w:rPr>
        <w:t>we may incur substantial liability and costs</w:t>
      </w:r>
      <w:r>
        <w:rPr>
          <w:rFonts w:ascii="Times New Roman;Times;serif" w:hAnsi="Times New Roman;Times;serif"/>
          <w:i/>
          <w:sz w:val="20"/>
        </w:rPr>
        <w:t xml:space="preserve">. </w:t>
      </w:r>
      <w:r>
        <w:rPr>
          <w:rFonts w:ascii="Times New Roman;Times;serif" w:hAnsi="Times New Roman;Times;serif"/>
          <w:b/>
          <w:i/>
          <w:sz w:val="20"/>
        </w:rPr>
        <w:t>If the use of our product candidates harms patients</w:t>
      </w:r>
      <w:r>
        <w:rPr>
          <w:rFonts w:ascii="Times New Roman;Times;serif" w:hAnsi="Times New Roman;Times;serif"/>
          <w:i/>
          <w:sz w:val="20"/>
        </w:rPr>
        <w:t xml:space="preserve">, </w:t>
      </w:r>
      <w:r>
        <w:rPr>
          <w:rFonts w:ascii="Times New Roman;Times;serif" w:hAnsi="Times New Roman;Times;serif"/>
          <w:b/>
          <w:i/>
          <w:sz w:val="20"/>
        </w:rPr>
        <w:t>or is perceived to harm patients even when such harm is unrelated to our product candidates</w:t>
      </w:r>
      <w:r>
        <w:rPr>
          <w:rFonts w:ascii="Times New Roman;Times;serif" w:hAnsi="Times New Roman;Times;serif"/>
          <w:i/>
          <w:sz w:val="20"/>
        </w:rPr>
        <w:t xml:space="preserve">, </w:t>
      </w:r>
      <w:r>
        <w:rPr>
          <w:rFonts w:ascii="Times New Roman;Times;serif" w:hAnsi="Times New Roman;Times;serif"/>
          <w:b/>
          <w:i/>
          <w:sz w:val="20"/>
        </w:rPr>
        <w:t>our regulatory approvals could be revoked or otherwise negatively impacted and we could be subject to costly and damaging product liability claims</w:t>
      </w:r>
      <w:r>
        <w:rPr>
          <w:rFonts w:ascii="Times New Roman;Times;serif" w:hAnsi="Times New Roman;Times;serif"/>
          <w:i/>
          <w:sz w:val="20"/>
        </w:rPr>
        <w: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use of our product candidates in clinical trials and the sale of any products for which we obtain marketing approval expose us to the risk of product liability claims. Product liability claims might be brought against us by patients, healthcare providers, pharmaceutical companies or others selling or otherwise coming into contact with our products. There is a risk that our product candidates may induce adverse events. If we cannot successfully defend against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liability claims, we could incur substantial liability and costs. In addition, regardless of merit or eventual outcome, product liability claims may result in:</w:t>
      </w:r>
    </w:p>
    <w:p>
      <w:pPr>
        <w:pStyle w:val="TextBody"/>
        <w:bidi w:val="0"/>
        <w:spacing w:before="0" w:after="0"/>
        <w:ind w:left="0" w:right="0" w:hanging="0"/>
        <w:jc w:val="left"/>
        <w:rPr/>
      </w:pPr>
      <w:r>
        <w:rPr/>
        <w:t>​</w:t>
      </w:r>
    </w:p>
    <w:tbl>
      <w:tblPr>
        <w:tblW w:w="3966" w:type="dxa"/>
        <w:jc w:val="left"/>
        <w:tblInd w:w="0" w:type="dxa"/>
        <w:tblLayout w:type="fixed"/>
        <w:tblCellMar>
          <w:top w:w="28" w:type="dxa"/>
          <w:left w:w="28" w:type="dxa"/>
          <w:bottom w:w="28" w:type="dxa"/>
          <w:right w:w="28" w:type="dxa"/>
        </w:tblCellMar>
      </w:tblPr>
      <w:tblGrid>
        <w:gridCol w:w="124"/>
        <w:gridCol w:w="256"/>
        <w:gridCol w:w="35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impairment of our business reputation;</w:t>
            </w:r>
          </w:p>
        </w:tc>
      </w:tr>
    </w:tbl>
    <w:p>
      <w:pPr>
        <w:pStyle w:val="TextBody"/>
        <w:bidi w:val="0"/>
        <w:spacing w:before="0" w:after="0"/>
        <w:ind w:left="360" w:right="0" w:hanging="0"/>
        <w:jc w:val="left"/>
        <w:rPr/>
      </w:pPr>
      <w:r>
        <w:rPr/>
        <w:t>​</w:t>
      </w:r>
    </w:p>
    <w:tbl>
      <w:tblPr>
        <w:tblW w:w="4041" w:type="dxa"/>
        <w:jc w:val="left"/>
        <w:tblInd w:w="0" w:type="dxa"/>
        <w:tblLayout w:type="fixed"/>
        <w:tblCellMar>
          <w:top w:w="28" w:type="dxa"/>
          <w:left w:w="28" w:type="dxa"/>
          <w:bottom w:w="28" w:type="dxa"/>
          <w:right w:w="28" w:type="dxa"/>
        </w:tblCellMar>
      </w:tblPr>
      <w:tblGrid>
        <w:gridCol w:w="124"/>
        <w:gridCol w:w="256"/>
        <w:gridCol w:w="36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withdrawal of clinical trial participants;</w:t>
            </w:r>
          </w:p>
        </w:tc>
      </w:tr>
    </w:tbl>
    <w:tbl>
      <w:tblPr>
        <w:tblW w:w="5286" w:type="dxa"/>
        <w:jc w:val="left"/>
        <w:tblInd w:w="0" w:type="dxa"/>
        <w:tblLayout w:type="fixed"/>
        <w:tblCellMar>
          <w:top w:w="28" w:type="dxa"/>
          <w:left w:w="28" w:type="dxa"/>
          <w:bottom w:w="28" w:type="dxa"/>
          <w:right w:w="28" w:type="dxa"/>
        </w:tblCellMar>
      </w:tblPr>
      <w:tblGrid>
        <w:gridCol w:w="124"/>
        <w:gridCol w:w="256"/>
        <w:gridCol w:w="4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 monetary awards to patients or other claimants;</w:t>
            </w:r>
          </w:p>
        </w:tc>
      </w:tr>
    </w:tbl>
    <w:p>
      <w:pPr>
        <w:pStyle w:val="TextBody"/>
        <w:bidi w:val="0"/>
        <w:spacing w:before="0" w:after="0"/>
        <w:ind w:left="360" w:right="0" w:hanging="0"/>
        <w:jc w:val="left"/>
        <w:rPr/>
      </w:pPr>
      <w:r>
        <w:rPr/>
        <w:t>​</w:t>
      </w:r>
    </w:p>
    <w:tbl>
      <w:tblPr>
        <w:tblW w:w="2961" w:type="dxa"/>
        <w:jc w:val="left"/>
        <w:tblInd w:w="0" w:type="dxa"/>
        <w:tblLayout w:type="fixed"/>
        <w:tblCellMar>
          <w:top w:w="28" w:type="dxa"/>
          <w:left w:w="28" w:type="dxa"/>
          <w:bottom w:w="28" w:type="dxa"/>
          <w:right w:w="28" w:type="dxa"/>
        </w:tblCellMar>
      </w:tblPr>
      <w:tblGrid>
        <w:gridCol w:w="124"/>
        <w:gridCol w:w="256"/>
        <w:gridCol w:w="25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due to related litigation;</w:t>
            </w:r>
          </w:p>
        </w:tc>
      </w:tr>
    </w:tbl>
    <w:p>
      <w:pPr>
        <w:pStyle w:val="TextBody"/>
        <w:pBdr/>
        <w:bidi w:val="0"/>
        <w:spacing w:before="0" w:after="0"/>
        <w:ind w:left="720" w:right="0" w:hanging="360"/>
        <w:jc w:val="left"/>
        <w:rPr/>
      </w:pPr>
      <w:r>
        <w:rPr/>
        <w:t>​</w:t>
      </w:r>
    </w:p>
    <w:tbl>
      <w:tblPr>
        <w:tblW w:w="6111" w:type="dxa"/>
        <w:jc w:val="left"/>
        <w:tblInd w:w="0" w:type="dxa"/>
        <w:tblLayout w:type="fixed"/>
        <w:tblCellMar>
          <w:top w:w="28" w:type="dxa"/>
          <w:left w:w="28" w:type="dxa"/>
          <w:bottom w:w="28" w:type="dxa"/>
          <w:right w:w="28" w:type="dxa"/>
        </w:tblCellMar>
      </w:tblPr>
      <w:tblGrid>
        <w:gridCol w:w="124"/>
        <w:gridCol w:w="256"/>
        <w:gridCol w:w="57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distraction of management’s attention from our primary business;</w:t>
            </w:r>
          </w:p>
        </w:tc>
      </w:tr>
    </w:tbl>
    <w:p>
      <w:pPr>
        <w:pStyle w:val="TextBody"/>
        <w:pBdr/>
        <w:bidi w:val="0"/>
        <w:spacing w:before="0" w:after="0"/>
        <w:ind w:left="720" w:right="0" w:hanging="360"/>
        <w:jc w:val="left"/>
        <w:rPr/>
      </w:pPr>
      <w:r>
        <w:rPr/>
        <w:t>​</w:t>
      </w:r>
    </w:p>
    <w:tbl>
      <w:tblPr>
        <w:tblW w:w="5286" w:type="dxa"/>
        <w:jc w:val="left"/>
        <w:tblInd w:w="0" w:type="dxa"/>
        <w:tblLayout w:type="fixed"/>
        <w:tblCellMar>
          <w:top w:w="28" w:type="dxa"/>
          <w:left w:w="28" w:type="dxa"/>
          <w:bottom w:w="28" w:type="dxa"/>
          <w:right w:w="28" w:type="dxa"/>
        </w:tblCellMar>
      </w:tblPr>
      <w:tblGrid>
        <w:gridCol w:w="124"/>
        <w:gridCol w:w="256"/>
        <w:gridCol w:w="4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commercialize our product candidates; and</w:t>
            </w:r>
          </w:p>
        </w:tc>
      </w:tr>
    </w:tbl>
    <w:p>
      <w:pPr>
        <w:pStyle w:val="TextBody"/>
        <w:bidi w:val="0"/>
        <w:spacing w:before="0" w:after="0"/>
        <w:ind w:left="360" w:right="0" w:hanging="0"/>
        <w:jc w:val="left"/>
        <w:rPr/>
      </w:pPr>
      <w:r>
        <w:rPr/>
        <w:t>​</w:t>
      </w:r>
    </w:p>
    <w:tbl>
      <w:tblPr>
        <w:tblW w:w="6876" w:type="dxa"/>
        <w:jc w:val="left"/>
        <w:tblInd w:w="0" w:type="dxa"/>
        <w:tblLayout w:type="fixed"/>
        <w:tblCellMar>
          <w:top w:w="28" w:type="dxa"/>
          <w:left w:w="28" w:type="dxa"/>
          <w:bottom w:w="28" w:type="dxa"/>
          <w:right w:w="28" w:type="dxa"/>
        </w:tblCellMar>
      </w:tblPr>
      <w:tblGrid>
        <w:gridCol w:w="124"/>
        <w:gridCol w:w="256"/>
        <w:gridCol w:w="6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decreased demand for our product candidates, if approved for commercial sale.</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may not be able to maintain insurance coverage at a reasonable cost or in sufficient amounts to protect us against losses due to liability. We intend to expand our insurance coverage each time we commercialize an additional product; however, we may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us could cause our ADS price to decline and, if judgments exceed our insurance coverage, could adversely affect our results of operations and business.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Patients with the diseases targeted by certain of our product candidates, such as our lead indications in oncology, are often already in severe and advanced stages of disease and have both known and unknown significant pre-existing and potentially life-threatening health risks.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time-consuming or inconclusive. These investigations may interrupt our sales efforts, delay our regulatory approval process,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r>
        <w:rPr>
          <w:rFonts w:ascii="Times New Roman;Times;serif" w:hAnsi="Times New Roman;Times;serif"/>
          <w:sz w:val="20"/>
          <w:shd w:fill="FFFFFF" w:val="clear"/>
        </w:rPr>
        <w:t>.</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We may seek designations for our product candidates with the FDA and other comparable regulatory authorities that are intended to confer benefits such as a faster development process or an accelerated regulatory pathway</w:t>
      </w:r>
      <w:r>
        <w:rPr>
          <w:rFonts w:ascii="Times New Roman;Times;serif" w:hAnsi="Times New Roman;Times;serif"/>
          <w:i/>
          <w:sz w:val="20"/>
        </w:rPr>
        <w:t xml:space="preserve">, </w:t>
      </w:r>
      <w:r>
        <w:rPr>
          <w:rFonts w:ascii="Times New Roman;Times;serif" w:hAnsi="Times New Roman;Times;serif"/>
          <w:b/>
          <w:i/>
          <w:sz w:val="20"/>
        </w:rPr>
        <w:t>but there can be no assurance that we will successfully obtain such designations</w:t>
      </w:r>
      <w:r>
        <w:rPr>
          <w:rFonts w:ascii="Times New Roman;Times;serif" w:hAnsi="Times New Roman;Times;serif"/>
          <w:i/>
          <w:sz w:val="20"/>
        </w:rPr>
        <w:t xml:space="preserve">. </w:t>
      </w:r>
      <w:r>
        <w:rPr>
          <w:rFonts w:ascii="Times New Roman;Times;serif" w:hAnsi="Times New Roman;Times;serif"/>
          <w:b/>
          <w:i/>
          <w:sz w:val="20"/>
        </w:rPr>
        <w:t>In addition</w:t>
      </w:r>
      <w:r>
        <w:rPr>
          <w:rFonts w:ascii="Times New Roman;Times;serif" w:hAnsi="Times New Roman;Times;serif"/>
          <w:i/>
          <w:sz w:val="20"/>
        </w:rPr>
        <w:t xml:space="preserve">, </w:t>
      </w:r>
      <w:r>
        <w:rPr>
          <w:rFonts w:ascii="Times New Roman;Times;serif" w:hAnsi="Times New Roman;Times;serif"/>
          <w:b/>
          <w:i/>
          <w:sz w:val="20"/>
        </w:rPr>
        <w:t>even if one or more of our product candidates are granted such designations</w:t>
      </w:r>
      <w:r>
        <w:rPr>
          <w:rFonts w:ascii="Times New Roman;Times;serif" w:hAnsi="Times New Roman;Times;serif"/>
          <w:i/>
          <w:sz w:val="20"/>
        </w:rPr>
        <w:t xml:space="preserve">, </w:t>
      </w:r>
      <w:r>
        <w:rPr>
          <w:rFonts w:ascii="Times New Roman;Times;serif" w:hAnsi="Times New Roman;Times;serif"/>
          <w:b/>
          <w:i/>
          <w:sz w:val="20"/>
        </w:rPr>
        <w:t>we may not be able to realize the intended benefits of such designations</w:t>
      </w:r>
      <w:r>
        <w:rPr>
          <w:rFonts w:ascii="Times New Roman;Times;serif" w:hAnsi="Times New Roman;Times;serif"/>
          <w:i/>
          <w:sz w:val="20"/>
        </w:rPr>
        <w: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FDA and other comparable regulatory authorities offer certain designations for product candidates that are intended to encourage the research and development of pharmaceutical products addressing conditions with significant unmet medical need. These designations may confer benefits such as additional interaction with regulatory authorities, a potentially accelerated regulatory pathway and priority review. There can be no assurance that we will successfully obtain such designation for any of our other product candidates. In addition, while such designations could expedite the development or approval process, they generally do not change the standards for approval. Even if we obtain such designations for one or more of our product candidates, there can be no assurance that we will realize their intended benefits.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For example, we may seek a Breakthrough Therapy Designation for one or more of our product candidates. A breakthrough therapy is defined as a therapy that is intended, alone or in combination with one or more other therapies,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 treat a serious or life-threatening disease or condition, if preliminary clinical evidence indicates that the therapy may demonstrate substantial improvement over existing therapies on one or more clinically significant endpoints, such as substantial treatment effects observed early in clinical development. For therapies that have been designated as breakthrough therapies, interaction and communication between the FDA and the sponsor of the trial can help to identify the most efficient path for clinical development while minimizing the number of patients placed in ineffective control regimens. Therapies designated as breakthrough therapies by the FDA are also eligible for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w:t>
      </w:r>
    </w:p>
    <w:p>
      <w:pPr>
        <w:pStyle w:val="TextBody"/>
        <w:bidi w:val="0"/>
        <w:spacing w:before="0" w:after="0"/>
        <w:ind w:left="0" w:right="0" w:firstLine="72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may also seek Fast Track Designation for some of our product candidates. If a therapy is intended for the treatment of a serious or life-threatening condition and the therapy demonstrates the potential to address unmet medical needs for this condition, the therapy sponsor may apply for Fast Track Designation. The FDA has broad discretion whether or not to grant this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 Track Designation does not provide assurance of ultimate FDA approval. The FDA may withdraw Fast Track Designation if it believes that the designation is no longer supported by data from our clinical development program. The EMA has a similar program called PRIME.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We may seek priority review designation for one or more of our product candidates</w:t>
      </w:r>
      <w:r>
        <w:rPr>
          <w:rFonts w:ascii="Times New Roman;Times;serif" w:hAnsi="Times New Roman;Times;serif"/>
          <w:i/>
          <w:sz w:val="20"/>
        </w:rPr>
        <w:t xml:space="preserve">, </w:t>
      </w:r>
      <w:r>
        <w:rPr>
          <w:rFonts w:ascii="Times New Roman;Times;serif" w:hAnsi="Times New Roman;Times;serif"/>
          <w:b/>
          <w:i/>
          <w:sz w:val="20"/>
        </w:rPr>
        <w:t>but we might not receive such designation</w:t>
      </w:r>
      <w:r>
        <w:rPr>
          <w:rFonts w:ascii="Times New Roman;Times;serif" w:hAnsi="Times New Roman;Times;serif"/>
          <w:i/>
          <w:sz w:val="20"/>
        </w:rPr>
        <w:t xml:space="preserve">, </w:t>
      </w:r>
      <w:r>
        <w:rPr>
          <w:rFonts w:ascii="Times New Roman;Times;serif" w:hAnsi="Times New Roman;Times;serif"/>
          <w:b/>
          <w:i/>
          <w:sz w:val="20"/>
        </w:rPr>
        <w:t>and even if we do</w:t>
      </w:r>
      <w:r>
        <w:rPr>
          <w:rFonts w:ascii="Times New Roman;Times;serif" w:hAnsi="Times New Roman;Times;serif"/>
          <w:i/>
          <w:sz w:val="20"/>
        </w:rPr>
        <w:t xml:space="preserve">, </w:t>
      </w:r>
      <w:r>
        <w:rPr>
          <w:rFonts w:ascii="Times New Roman;Times;serif" w:hAnsi="Times New Roman;Times;serif"/>
          <w:b/>
          <w:i/>
          <w:sz w:val="20"/>
        </w:rPr>
        <w:t>such designation may not lead to a faster regulatory review or approval process</w:t>
      </w:r>
      <w:r>
        <w:rPr>
          <w:rFonts w:ascii="Times New Roman;Times;serif" w:hAnsi="Times New Roman;Times;serif"/>
          <w:i/>
          <w:sz w:val="20"/>
        </w:rPr>
        <w:t>.</w:t>
      </w:r>
    </w:p>
    <w:p>
      <w:pPr>
        <w:pStyle w:val="TextBody"/>
        <w:bidi w:val="0"/>
        <w:spacing w:before="0" w:after="0"/>
        <w:ind w:left="0" w:right="0" w:hanging="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We may request priority review for our product candidates. The FDA has broad discretion with respect to whether or not to grant priority review status to a product candidate, so even if we believe a particular product candidate is eligible for such designation or status, in particular if such product candidate has received a Breakthrough Therapy Designation, the FDA may decide not to grant it. Moreover, a priority review designation does not result in expedited development and does not necessarily result in expedited regulatory review or approval process or necessarily confer any advantage with respect to approval compared to conventional FDA procedures. Receiving priority review from the FDA does not guarantee approval within the six-month review cycle or at all.</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Obtaining and maintaining marketing approval of our current and future product candidates in one jurisdiction does not mean that we will be successful in obtaining marketing approval of our current and future product candidates in other jurisdictions</w:t>
      </w:r>
      <w:r>
        <w:rPr>
          <w:rFonts w:ascii="Times New Roman;Times;serif" w:hAnsi="Times New Roman;Times;serif"/>
          <w:i/>
          <w:sz w:val="20"/>
        </w:rPr>
        <w: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Obtaining and maintaining marketing approval of our current and future product candidates in one jurisdiction does not guarantee that we will be able to obtain or maintain marketing approval in any other jurisdiction, while a failure or delay in obtaining marketing approval in one jurisdiction may have a negative effect on the marketing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products is also subject to approval. We do not have experience in obtaining reimbursement or pricing approvals in international markets.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Obtaining marketing approvals and compliance with regulatory requirements could result in significant delays, difficulties and costs for us and could delay or prevent the introduction of our products in certain countries outside of the United States. If we fail to comply with the regulatory requirements in international markets and/or receive applicable marketing approvals, our target market will be reduced and our ability to realize the full market potential of our product candidates will be harmed</w:t>
      </w:r>
      <w:r>
        <w:rPr>
          <w:rFonts w:ascii="Times New Roman;Times;serif" w:hAnsi="Times New Roman;Times;serif"/>
          <w:sz w:val="20"/>
          <w:shd w:fill="FFFFFF" w:val="clear"/>
        </w:rPr>
        <w:t>.</w:t>
      </w:r>
    </w:p>
    <w:p>
      <w:pPr>
        <w:pStyle w:val="TextBody"/>
        <w:bidi w:val="0"/>
        <w:spacing w:before="0" w:after="0"/>
        <w:ind w:left="0" w:right="0" w:firstLine="720"/>
        <w:jc w:val="left"/>
        <w:rPr>
          <w:shd w:fill="FFFFFF" w:val="clear"/>
        </w:rPr>
      </w:pPr>
      <w:r>
        <w:rPr>
          <w:shd w:fill="FFFFFF" w:val="clear"/>
        </w:rPr>
        <w:t>​</w:t>
      </w:r>
    </w:p>
    <w:p>
      <w:pPr>
        <w:pStyle w:val="TextBody"/>
        <w:bidi w:val="0"/>
        <w:spacing w:before="0" w:after="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Changes in the regulatory landscape, policies, or processes, as well as disruptions at the FDA and other government agencies caused by layoffs, changes in personnel, funding shortages or global health concerns could negatively impact our business.</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The ability of the FDA to review proposed clinical trials or approve new products can be affected by a variety of factors, including government budget and funding levels, statutory, regulatory, and policy changes, the FDA’s ability to hire and retain key personnel and accept payment of user fees, and other events that may otherwise affect the FDA’s ability to perform routine functions. In addition, government funding of other government agencies that fund research and development activities is subject to the political process, including executive and congressional priorities, the impacts of which are inherently fluid and unpredictable. </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Disruptions at the FDA and other agencies may slow the time necessary for new product candidates to be reviewed and/or approved, which would adversely affect our business. For example, over the last several years, including in October 2025, the U.S. government has shut down several times and certain regulatory agencies, such as the FDA, have had to furlough critical FDA employees and stop critical activities. If a prolonged government shutdown occurs, it could significantly impact the ability of the FDA to timely review and process our regulatory submissions, which could have a material adverse effect on our business. In addition, the current administration has implemented substantial reductions in force at various government agencies including the FDA, which could significantly reduce the FDA’s capacity to perform its functions in a manner consistent with its past practices and could delay reviews and negatively impact our business. There is also increased uncertainty as to how the FDA and other regulatory agencies will review and regulate our products.</w:t>
      </w:r>
    </w:p>
    <w:p>
      <w:pPr>
        <w:pStyle w:val="TextBody"/>
        <w:bidi w:val="0"/>
        <w:spacing w:before="0" w:after="0"/>
        <w:ind w:left="0" w:right="0" w:firstLine="720"/>
        <w:jc w:val="left"/>
        <w:rPr>
          <w:shd w:fill="FFFFFF" w:val="clear"/>
        </w:rPr>
      </w:pPr>
      <w:r>
        <w:rPr>
          <w:shd w:fill="FFFFFF" w:val="clea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Risks Related to Commercialization of Our Product Candidates and Other Regulatory Compliance Matters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Even if we complete the necessary preclinical studies and clinical trials</w:t>
      </w:r>
      <w:r>
        <w:rPr>
          <w:rFonts w:ascii="Times New Roman;Times;serif" w:hAnsi="Times New Roman;Times;serif"/>
          <w:i/>
          <w:sz w:val="20"/>
        </w:rPr>
        <w:t xml:space="preserve">, </w:t>
      </w:r>
      <w:r>
        <w:rPr>
          <w:rFonts w:ascii="Times New Roman;Times;serif" w:hAnsi="Times New Roman;Times;serif"/>
          <w:b/>
          <w:i/>
          <w:sz w:val="20"/>
        </w:rPr>
        <w:t>the marketing approval process is expensive</w:t>
      </w:r>
      <w:r>
        <w:rPr>
          <w:rFonts w:ascii="Times New Roman;Times;serif" w:hAnsi="Times New Roman;Times;serif"/>
          <w:i/>
          <w:sz w:val="20"/>
        </w:rPr>
        <w:t xml:space="preserve">, </w:t>
      </w:r>
      <w:r>
        <w:rPr>
          <w:rFonts w:ascii="Times New Roman;Times;serif" w:hAnsi="Times New Roman;Times;serif"/>
          <w:b/>
          <w:i/>
          <w:sz w:val="20"/>
        </w:rPr>
        <w:t>time consuming and uncertain and may prevent us or any collaborators from obtaining approvals for the commercialization of some or all of our product candidates</w:t>
      </w:r>
      <w:r>
        <w:rPr>
          <w:rFonts w:ascii="Times New Roman;Times;serif" w:hAnsi="Times New Roman;Times;serif"/>
          <w:i/>
          <w:sz w:val="20"/>
        </w:rPr>
        <w:t xml:space="preserve">. </w:t>
      </w:r>
      <w:r>
        <w:rPr>
          <w:rFonts w:ascii="Times New Roman;Times;serif" w:hAnsi="Times New Roman;Times;serif"/>
          <w:b/>
          <w:i/>
          <w:sz w:val="20"/>
        </w:rPr>
        <w:t>As a result</w:t>
      </w:r>
      <w:r>
        <w:rPr>
          <w:rFonts w:ascii="Times New Roman;Times;serif" w:hAnsi="Times New Roman;Times;serif"/>
          <w:i/>
          <w:sz w:val="20"/>
        </w:rPr>
        <w:t xml:space="preserve">, </w:t>
      </w:r>
      <w:r>
        <w:rPr>
          <w:rFonts w:ascii="Times New Roman;Times;serif" w:hAnsi="Times New Roman;Times;serif"/>
          <w:b/>
          <w:i/>
          <w:sz w:val="20"/>
        </w:rPr>
        <w:t>we cannot predict when or if</w:t>
      </w:r>
      <w:r>
        <w:rPr>
          <w:rFonts w:ascii="Times New Roman;Times;serif" w:hAnsi="Times New Roman;Times;serif"/>
          <w:i/>
          <w:sz w:val="20"/>
        </w:rPr>
        <w:t xml:space="preserve">, </w:t>
      </w:r>
      <w:r>
        <w:rPr>
          <w:rFonts w:ascii="Times New Roman;Times;serif" w:hAnsi="Times New Roman;Times;serif"/>
          <w:b/>
          <w:i/>
          <w:sz w:val="20"/>
        </w:rPr>
        <w:t>and in which territories</w:t>
      </w:r>
      <w:r>
        <w:rPr>
          <w:rFonts w:ascii="Times New Roman;Times;serif" w:hAnsi="Times New Roman;Times;serif"/>
          <w:i/>
          <w:sz w:val="20"/>
        </w:rPr>
        <w:t xml:space="preserve">, </w:t>
      </w:r>
      <w:r>
        <w:rPr>
          <w:rFonts w:ascii="Times New Roman;Times;serif" w:hAnsi="Times New Roman;Times;serif"/>
          <w:b/>
          <w:i/>
          <w:sz w:val="20"/>
        </w:rPr>
        <w:t>we</w:t>
      </w:r>
      <w:r>
        <w:rPr>
          <w:rFonts w:ascii="Times New Roman;Times;serif" w:hAnsi="Times New Roman;Times;serif"/>
          <w:i/>
          <w:sz w:val="20"/>
        </w:rPr>
        <w:t xml:space="preserve">, </w:t>
      </w:r>
      <w:r>
        <w:rPr>
          <w:rFonts w:ascii="Times New Roman;Times;serif" w:hAnsi="Times New Roman;Times;serif"/>
          <w:b/>
          <w:i/>
          <w:sz w:val="20"/>
        </w:rPr>
        <w:t>or any collaborators</w:t>
      </w:r>
      <w:r>
        <w:rPr>
          <w:rFonts w:ascii="Times New Roman;Times;serif" w:hAnsi="Times New Roman;Times;serif"/>
          <w:i/>
          <w:sz w:val="20"/>
        </w:rPr>
        <w:t xml:space="preserve">, </w:t>
      </w:r>
      <w:r>
        <w:rPr>
          <w:rFonts w:ascii="Times New Roman;Times;serif" w:hAnsi="Times New Roman;Times;serif"/>
          <w:b/>
          <w:i/>
          <w:sz w:val="20"/>
        </w:rPr>
        <w:t>will obtain marketing approval to commercialize a product candidate</w:t>
      </w:r>
      <w:r>
        <w:rPr>
          <w:rFonts w:ascii="Times New Roman;Times;serif" w:hAnsi="Times New Roman;Times;serif"/>
          <w:i/>
          <w:sz w:val="20"/>
          <w:shd w:fill="FFFFFF" w:val="clear"/>
        </w:rPr>
        <w: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process of obtaining marketing approvals, both in the United States and abroad, is lengthy, expensive and uncertain. It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The FDA or other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Any marketing approval we ultimately obtain may be limited or subject to restrictions or post-approval commitments that render the approved product not commercially viable.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addition,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are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insufficient for approval and require additional preclinical, clinical or other studies. Varying interpretations of the data obtained from preclinical and clinical testing could delay, limit or prevent marketing approval of a product candidate. We cannot commercialize a product until the appropriate regulatory authorities have reviewed and approved the product candidate. Even if our product candidates demonstrate safety and efficacy in clinical trials, the regulatory authorities may not complete their review processes in a timely manner, or we may not be able to obtain regulatory approval. It is possible that we could experience delays in the timing of our interactions with regulatory authorities due to absenteeism by governmental employees, inability to conduct planned physical inspections related to regulatory approval, or the diversion of regulatory authority efforts, which could delay anticipated approval decisions and otherwise delay or limit our ability to make planned regulatory submissions or obtain new product approvals.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review process. Any marketing approval we ultimately obtain, if any, may be limited or subject to restrictions or post-approval commitments that render the approved product not commercially viable.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other regulatory authority. The FDA or other regulatory authority may conclude that a financial relationship between us and a principal investigator has created a conflict of interest or otherwise affected interpretation of the trial. The FDA or other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other regulatory authority, as the case may be, and may ultimately lead to the denial of marketing approval of one or more of our product candidates.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addition, regulatory authorities may not approve the labeling claims that are necessary or desirable for the successful commercialization of our product candidates. For example, regulatory authorities may approve a product candidate for fewer or more limited indications than requested or may grant approval subject to the performance of post-marketing studies. Regulators may approve a product candidate for a smaller patient population, a different drug formulation or a different manufacturing process, than we are seeking. If we are unable to obtain necessary regulatory approvals, or more limited regulatory approvals than we expect, our business, prospects, financial condition and results of operations may suffer.</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Any delay in obtaining or failure to obtain required approvals could negatively impact our ability to generate revenue from the particular product candidate, which likely would result in significant harm to our financial position and adversely impact the price of our ADSs.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We currently have limited marketing</w:t>
      </w:r>
      <w:r>
        <w:rPr>
          <w:rFonts w:ascii="Times New Roman;Times;serif" w:hAnsi="Times New Roman;Times;serif"/>
          <w:i/>
          <w:sz w:val="20"/>
        </w:rPr>
        <w:t xml:space="preserve">, </w:t>
      </w:r>
      <w:r>
        <w:rPr>
          <w:rFonts w:ascii="Times New Roman;Times;serif" w:hAnsi="Times New Roman;Times;serif"/>
          <w:b/>
          <w:i/>
          <w:sz w:val="20"/>
        </w:rPr>
        <w:t>sales or distribution infrastructure with respect to our product candidates</w:t>
      </w:r>
      <w:r>
        <w:rPr>
          <w:rFonts w:ascii="Times New Roman;Times;serif" w:hAnsi="Times New Roman;Times;serif"/>
          <w:i/>
          <w:sz w:val="20"/>
        </w:rPr>
        <w:t xml:space="preserve">. </w:t>
      </w:r>
      <w:r>
        <w:rPr>
          <w:rFonts w:ascii="Times New Roman;Times;serif" w:hAnsi="Times New Roman;Times;serif"/>
          <w:b/>
          <w:i/>
          <w:sz w:val="20"/>
        </w:rPr>
        <w:t>If we are unable to develop our sales</w:t>
      </w:r>
      <w:r>
        <w:rPr>
          <w:rFonts w:ascii="Times New Roman;Times;serif" w:hAnsi="Times New Roman;Times;serif"/>
          <w:i/>
          <w:sz w:val="20"/>
        </w:rPr>
        <w:t xml:space="preserve">, </w:t>
      </w:r>
      <w:r>
        <w:rPr>
          <w:rFonts w:ascii="Times New Roman;Times;serif" w:hAnsi="Times New Roman;Times;serif"/>
          <w:b/>
          <w:i/>
          <w:sz w:val="20"/>
        </w:rPr>
        <w:t>marketing and distribution capability on our own or through collaborations with marketing partners</w:t>
      </w:r>
      <w:r>
        <w:rPr>
          <w:rFonts w:ascii="Times New Roman;Times;serif" w:hAnsi="Times New Roman;Times;serif"/>
          <w:i/>
          <w:sz w:val="20"/>
        </w:rPr>
        <w:t xml:space="preserve">, </w:t>
      </w:r>
      <w:r>
        <w:rPr>
          <w:rFonts w:ascii="Times New Roman;Times;serif" w:hAnsi="Times New Roman;Times;serif"/>
          <w:b/>
          <w:i/>
          <w:sz w:val="20"/>
        </w:rPr>
        <w:t>we will not be successful in commercializing our product candidates</w:t>
      </w:r>
      <w:r>
        <w:rPr>
          <w:rFonts w:ascii="Times New Roman;Times;serif" w:hAnsi="Times New Roman;Times;serif"/>
          <w:i/>
          <w:sz w:val="20"/>
        </w:rPr>
        <w: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currently have limited marketing, sales or distribution capabilities and have limited sales or marketing experience within our organization. If one or more of our product candidates is approved, we intend either to build our sales and marketing organization with technical expertise and supporting distribution capabilities to commercialize that product candidate, or to outsource this function to a third party. There are risks involved with either building our own sales and marketing capabilities and entering into arrangements with third parties to perform these services.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Recruiting and training an internal commercial organization is expensive and time consuming and could delay any product launch. Some or all of these costs may be incurred in advance of any approval of any of our product candidates.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 In addition, we may not be able to hire a sales force in the United States or other target market that is sufficient in size or has adequate expertise in the medical markets that we intend to target.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Factors that may inhibit our efforts to commercialize our product candidates on our own include:</w:t>
      </w:r>
    </w:p>
    <w:p>
      <w:pPr>
        <w:pStyle w:val="TextBody"/>
        <w:bidi w:val="0"/>
        <w:spacing w:before="0" w:after="0"/>
        <w:ind w:left="0" w:right="0" w:hanging="0"/>
        <w:jc w:val="left"/>
        <w:rPr/>
      </w:pPr>
      <w:r>
        <w:rPr/>
        <w:t>​</w:t>
      </w:r>
    </w:p>
    <w:tbl>
      <w:tblPr>
        <w:tblW w:w="8661" w:type="dxa"/>
        <w:jc w:val="left"/>
        <w:tblInd w:w="0" w:type="dxa"/>
        <w:tblLayout w:type="fixed"/>
        <w:tblCellMar>
          <w:top w:w="28" w:type="dxa"/>
          <w:left w:w="28" w:type="dxa"/>
          <w:bottom w:w="28" w:type="dxa"/>
          <w:right w:w="28" w:type="dxa"/>
        </w:tblCellMar>
      </w:tblPr>
      <w:tblGrid>
        <w:gridCol w:w="124"/>
        <w:gridCol w:w="256"/>
        <w:gridCol w:w="82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recruit, train and retain adequate numbers of effective sales and marketing personnel;</w:t>
            </w:r>
          </w:p>
        </w:tc>
      </w:tr>
    </w:tbl>
    <w:p>
      <w:pPr>
        <w:pStyle w:val="TextBody"/>
        <w:bidi w:val="0"/>
        <w:spacing w:before="0" w:after="0"/>
        <w:ind w:left="36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of sales personnel to obtain access to physicians or our failure to educate physicians on the benefits of prescribing our products;</w:t>
            </w:r>
          </w:p>
        </w:tc>
      </w:tr>
    </w:tbl>
    <w:p>
      <w:pPr>
        <w:pStyle w:val="TextBody"/>
        <w:bidi w:val="0"/>
        <w:spacing w:before="0" w:after="0"/>
        <w:ind w:left="36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lack of complementary treatments to be offered by sales personnel, which may put us at a competitive disadvantage relative to companies with more extensive product lines; and</w:t>
            </w:r>
          </w:p>
        </w:tc>
      </w:tr>
    </w:tbl>
    <w:p>
      <w:pPr>
        <w:pStyle w:val="TextBody"/>
        <w:bidi w:val="0"/>
        <w:spacing w:before="0" w:after="0"/>
        <w:ind w:left="360" w:right="0" w:hanging="0"/>
        <w:jc w:val="left"/>
        <w:rPr/>
      </w:pPr>
      <w:r>
        <w:rPr/>
        <w:t>​</w:t>
      </w:r>
    </w:p>
    <w:tbl>
      <w:tblPr>
        <w:tblW w:w="9276" w:type="dxa"/>
        <w:jc w:val="left"/>
        <w:tblInd w:w="0" w:type="dxa"/>
        <w:tblLayout w:type="fixed"/>
        <w:tblCellMar>
          <w:top w:w="28" w:type="dxa"/>
          <w:left w:w="28" w:type="dxa"/>
          <w:bottom w:w="28" w:type="dxa"/>
          <w:right w:w="28" w:type="dxa"/>
        </w:tblCellMar>
      </w:tblPr>
      <w:tblGrid>
        <w:gridCol w:w="124"/>
        <w:gridCol w:w="256"/>
        <w:gridCol w:w="88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unforeseen costs and expenses associated with expanding an independent sales and marketing organization.</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If we enter into arrangements with third parties to perform sales, marketing and distribution services, our product revenue or the profitability to us from these revenue streams is likely to be lower than if we were to market and sell any product candidates that we develop ourselves. In addition, we may not be successful in entering into arrangements with third parties to sell and market our product candidates or may be unable to do so on terms that are favorable to us. We likely will have little control over such third parties and any of them may fail to devote the necessary resources and attention to sell and market our product candidates effectively. If we do not establish sales and marketing capabilities successfully, either on our own or in collaboration with third parties, we may not be successful in commercializing our product candidates</w:t>
      </w:r>
      <w:r>
        <w:rPr>
          <w:rFonts w:ascii="Times New Roman;Times;serif" w:hAnsi="Times New Roman;Times;serif"/>
          <w:sz w:val="20"/>
          <w:shd w:fill="FFFFFF" w:val="clear"/>
        </w:rPr>
        <w:t>.</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shd w:fill="FFFFFF" w:val="clear"/>
        </w:rPr>
        <w:t>The market opportunities for any current or future product candidate we develop</w:t>
      </w:r>
      <w:r>
        <w:rPr>
          <w:rFonts w:ascii="Times New Roman;Times;serif" w:hAnsi="Times New Roman;Times;serif"/>
          <w:i/>
          <w:sz w:val="20"/>
          <w:shd w:fill="FFFFFF" w:val="clear"/>
        </w:rPr>
        <w:t>, </w:t>
      </w:r>
      <w:r>
        <w:rPr>
          <w:rFonts w:ascii="Times New Roman;Times;serif" w:hAnsi="Times New Roman;Times;serif"/>
          <w:b/>
          <w:i/>
          <w:sz w:val="20"/>
          <w:shd w:fill="FFFFFF" w:val="clear"/>
        </w:rPr>
        <w:t>if and when approved</w:t>
      </w:r>
      <w:r>
        <w:rPr>
          <w:rFonts w:ascii="Times New Roman;Times;serif" w:hAnsi="Times New Roman;Times;serif"/>
          <w:i/>
          <w:sz w:val="20"/>
          <w:shd w:fill="FFFFFF" w:val="clear"/>
        </w:rPr>
        <w:t>, </w:t>
      </w:r>
      <w:r>
        <w:rPr>
          <w:rFonts w:ascii="Times New Roman;Times;serif" w:hAnsi="Times New Roman;Times;serif"/>
          <w:b/>
          <w:i/>
          <w:sz w:val="20"/>
          <w:shd w:fill="FFFFFF" w:val="clear"/>
        </w:rPr>
        <w:t>may be limited to those patients who are ineligible for established therapies or for whom prior therapies have failed</w:t>
      </w:r>
      <w:r>
        <w:rPr>
          <w:rFonts w:ascii="Times New Roman;Times;serif" w:hAnsi="Times New Roman;Times;serif"/>
          <w:i/>
          <w:sz w:val="20"/>
          <w:shd w:fill="FFFFFF" w:val="clear"/>
        </w:rPr>
        <w:t>, </w:t>
      </w:r>
      <w:r>
        <w:rPr>
          <w:rFonts w:ascii="Times New Roman;Times;serif" w:hAnsi="Times New Roman;Times;serif"/>
          <w:b/>
          <w:i/>
          <w:sz w:val="20"/>
          <w:shd w:fill="FFFFFF" w:val="clear"/>
        </w:rPr>
        <w:t>and may be small</w:t>
      </w:r>
      <w:r>
        <w:rPr>
          <w:rFonts w:ascii="Times New Roman;Times;serif" w:hAnsi="Times New Roman;Times;serif"/>
          <w:i/>
          <w:sz w:val="20"/>
          <w:shd w:fill="FFFFFF" w:val="clear"/>
        </w:rPr>
        <w: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Cancer therapies are sometimes characterized as first-line, second-line, third-line or later-line therapies, and the FDA often approves new therapies initially only for third-line use. When cancer is detected early enough, first-line therapy, usually chemotherapy, hormone therapy, surgery, radiation therapy, immunotherapy or a combination of these, is sometimes adequate to cure the cancer or prolong life without a cure. Second- and third-line therapies are administered to patients when prior therapy is not effective. We may initially seek approval of nuzefatide pevedotin and any other product candidates we develop as a therapy for patients who have received one or more prior treatments. Subsequently, for those products that prove to be sufficiently beneficial, if any, we would expect to seek approval potentially as a first-line therapy, but there is no guarantee that product candidates we develop, even if approved, would be approved for first-line therapy, and, prior to any such approvals, we may have to conduct additional clinical trials.</w:t>
      </w:r>
    </w:p>
    <w:p>
      <w:pPr>
        <w:pStyle w:val="TextBody"/>
        <w:bidi w:val="0"/>
        <w:spacing w:before="0" w:after="0"/>
        <w:ind w:left="0" w:right="0" w:hanging="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number of patients who have the cancers we are targeting may turn out to be lower than expected. Additionally, the potentially addressable patient population for our current programs or future product candidates may be limited, if and when approved. Even if we obtain significant market share for any product candidate, if and when approved, if the potential target populations are small, we may never achieve profitability without obtaining marketing approval for additional indications, including use as first- or second-line therapy.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shd w:fill="FFFFFF" w:val="clear"/>
        </w:rPr>
        <w:t>Even if we receive marketing approval of a product candidate</w:t>
      </w:r>
      <w:r>
        <w:rPr>
          <w:rFonts w:ascii="Times New Roman;Times;serif" w:hAnsi="Times New Roman;Times;serif"/>
          <w:i/>
          <w:sz w:val="20"/>
          <w:shd w:fill="FFFFFF" w:val="clear"/>
        </w:rPr>
        <w:t>, </w:t>
      </w:r>
      <w:r>
        <w:rPr>
          <w:rFonts w:ascii="Times New Roman;Times;serif" w:hAnsi="Times New Roman;Times;serif"/>
          <w:b/>
          <w:i/>
          <w:sz w:val="20"/>
          <w:shd w:fill="FFFFFF" w:val="clear"/>
        </w:rPr>
        <w:t>we will be subject to ongoing regulatory obligations and continued regulatory review</w:t>
      </w:r>
      <w:r>
        <w:rPr>
          <w:rFonts w:ascii="Times New Roman;Times;serif" w:hAnsi="Times New Roman;Times;serif"/>
          <w:i/>
          <w:sz w:val="20"/>
          <w:shd w:fill="FFFFFF" w:val="clear"/>
        </w:rPr>
        <w:t>, </w:t>
      </w:r>
      <w:r>
        <w:rPr>
          <w:rFonts w:ascii="Times New Roman;Times;serif" w:hAnsi="Times New Roman;Times;serif"/>
          <w:b/>
          <w:i/>
          <w:sz w:val="20"/>
          <w:shd w:fill="FFFFFF" w:val="clear"/>
        </w:rPr>
        <w:t>which may result in significant additional expense and we may be subject to penalties if we fail to comply with regulatory requirements or experience unanticipated problems with our products</w:t>
      </w:r>
      <w:r>
        <w:rPr>
          <w:rFonts w:ascii="Times New Roman;Times;serif" w:hAnsi="Times New Roman;Times;serif"/>
          <w:i/>
          <w:sz w:val="20"/>
          <w:shd w:fill="FFFFFF" w:val="clear"/>
        </w:rPr>
        <w:t>, </w:t>
      </w:r>
      <w:r>
        <w:rPr>
          <w:rFonts w:ascii="Times New Roman;Times;serif" w:hAnsi="Times New Roman;Times;serif"/>
          <w:b/>
          <w:i/>
          <w:sz w:val="20"/>
          <w:shd w:fill="FFFFFF" w:val="clear"/>
        </w:rPr>
        <w:t>if approved</w:t>
      </w:r>
      <w:r>
        <w:rPr>
          <w:rFonts w:ascii="Times New Roman;Times;serif" w:hAnsi="Times New Roman;Times;serif"/>
          <w:i/>
          <w:sz w:val="20"/>
          <w:shd w:fill="FFFFFF" w:val="clear"/>
        </w:rPr>
        <w: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bookmarkStart w:id="1007" w:name="_cp_text_1_37"/>
      <w:bookmarkEnd w:id="1007"/>
      <w:r>
        <w:rPr>
          <w:rFonts w:ascii="Times New Roman;Times;serif" w:hAnsi="Times New Roman;Times;serif"/>
          <w:sz w:val="20"/>
        </w:rPr>
        <w:t xml:space="preserve">Any marketing approvals that we receive for any current or future product candidate may be subject to limitations on the approved indicated uses for which the product may be marketed or the conditions of approval, or contain requirements for potentially costly post-market testing and surveillance to monitor the safety and efficacy of the product candidate. The FDA or comparable foreign regulatory authorities may also require a Risk Evaluation and Mitigation Strategy, or REMS, or a comparable foreign strategy, as a condition of approval of any product candidate, which could include requirements for a medication guide, physician communication plans or additional elements to ensure safe use, such as restricted distribution methods, patient registries and other risk minimization tools. If the FDA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or a comparable foreign regulatory authority approves a product candidate, the manufacturing processes, labeling, packaging, distribution, adverse event reporting, storage, advertising, promotion, import and export and record keeping for the product candidate will be subject to extensive and ongoing regulatory requirements. These requirements include, among others, submissions of safety and other post-marketing information and reports, registration, as well as continued compliance with current Good Manufacturing Practice, or cGMP, and Good Clinical Practice, or GCP, for any clinical trials that we conduct post-approval, and prohibitions on the promotion of an approved product for uses not included in the product’s approved labeling. The FDA and other or comparable foreign regulatory authorities actively enforce the laws and regulations prohibiting the promotion of off-label uses, and a company that is found to have improperly promoted off-label may be subject to significant liability. However, physicians may, in their independent medical judgment, prescribe legally available products for off-label uses. The FDA does not regulate the behavior of physicians in their choice of treatments, but the FDA does restrict manufacturers’ communications on the subject of off-label use of their products</w:t>
      </w:r>
      <w:r>
        <w:rPr>
          <w:rFonts w:ascii="Times New Roman;Times;serif" w:hAnsi="Times New Roman;Times;serif"/>
          <w:sz w:val="20"/>
          <w:shd w:fill="FFFFFF" w:val="clear"/>
        </w:rPr>
        <w:t>. Similar considerations apply outside of the United States.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Later discovery of previously unknown problems with any approved candidate, including adverse events of unanticipated severity or frequency, or with our third-party manufacturers or manufacturing processes, or failure to comply with regulatory requirements, may result in, among other things:</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the labeling, distribution, marketing or manufacturing of the product, withdrawal of the product from the market, or product recalls;</w:t>
            </w:r>
          </w:p>
        </w:tc>
      </w:tr>
    </w:tbl>
    <w:p>
      <w:pPr>
        <w:pStyle w:val="TextBody"/>
        <w:bidi w:val="0"/>
        <w:spacing w:before="0" w:after="0"/>
        <w:ind w:left="360" w:right="0" w:hanging="0"/>
        <w:jc w:val="left"/>
        <w:rPr/>
      </w:pPr>
      <w:r>
        <w:rPr/>
        <w:t>​</w:t>
      </w:r>
    </w:p>
    <w:tbl>
      <w:tblPr>
        <w:tblW w:w="4941" w:type="dxa"/>
        <w:jc w:val="left"/>
        <w:tblInd w:w="0" w:type="dxa"/>
        <w:tblLayout w:type="fixed"/>
        <w:tblCellMar>
          <w:top w:w="28" w:type="dxa"/>
          <w:left w:w="28" w:type="dxa"/>
          <w:bottom w:w="28" w:type="dxa"/>
          <w:right w:w="28" w:type="dxa"/>
        </w:tblCellMar>
      </w:tblPr>
      <w:tblGrid>
        <w:gridCol w:w="124"/>
        <w:gridCol w:w="256"/>
        <w:gridCol w:w="45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untitled and warning letters, or holds on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refusal by the FDA or comparable foreign regulatory authorities to approve pending applications or supplements to approved applications we filed or suspension or revocation of license approvals;</w:t>
            </w:r>
          </w:p>
        </w:tc>
      </w:tr>
    </w:tbl>
    <w:p>
      <w:pPr>
        <w:pStyle w:val="TextBody"/>
        <w:bidi w:val="0"/>
        <w:spacing w:before="0" w:after="0"/>
        <w:ind w:left="360" w:right="0" w:hanging="0"/>
        <w:jc w:val="left"/>
        <w:rPr/>
      </w:pPr>
      <w:r>
        <w:rPr/>
        <w:t>​</w:t>
      </w:r>
    </w:p>
    <w:tbl>
      <w:tblPr>
        <w:tblW w:w="5766" w:type="dxa"/>
        <w:jc w:val="left"/>
        <w:tblInd w:w="0" w:type="dxa"/>
        <w:tblLayout w:type="fixed"/>
        <w:tblCellMar>
          <w:top w:w="28" w:type="dxa"/>
          <w:left w:w="28" w:type="dxa"/>
          <w:bottom w:w="28" w:type="dxa"/>
          <w:right w:w="28" w:type="dxa"/>
        </w:tblCellMar>
      </w:tblPr>
      <w:tblGrid>
        <w:gridCol w:w="124"/>
        <w:gridCol w:w="256"/>
        <w:gridCol w:w="5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requirements to conduct post-marketing studies or clinical trials;</w:t>
            </w:r>
          </w:p>
        </w:tc>
      </w:tr>
    </w:tbl>
    <w:p>
      <w:pPr>
        <w:pStyle w:val="TextBody"/>
        <w:bidi w:val="0"/>
        <w:spacing w:before="0" w:after="0"/>
        <w:ind w:left="360" w:right="0" w:hanging="0"/>
        <w:jc w:val="left"/>
        <w:rPr/>
      </w:pPr>
      <w:r>
        <w:rPr/>
        <w:t>​</w:t>
      </w:r>
    </w:p>
    <w:tbl>
      <w:tblPr>
        <w:tblW w:w="4281" w:type="dxa"/>
        <w:jc w:val="left"/>
        <w:tblInd w:w="0" w:type="dxa"/>
        <w:tblLayout w:type="fixed"/>
        <w:tblCellMar>
          <w:top w:w="28" w:type="dxa"/>
          <w:left w:w="28" w:type="dxa"/>
          <w:bottom w:w="28" w:type="dxa"/>
          <w:right w:w="28" w:type="dxa"/>
        </w:tblCellMar>
      </w:tblPr>
      <w:tblGrid>
        <w:gridCol w:w="124"/>
        <w:gridCol w:w="256"/>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coverage by third-party payors;</w:t>
            </w:r>
          </w:p>
        </w:tc>
      </w:tr>
    </w:tbl>
    <w:p>
      <w:pPr>
        <w:pStyle w:val="TextBody"/>
        <w:bidi w:val="0"/>
        <w:spacing w:before="0" w:after="0"/>
        <w:ind w:left="360" w:right="0" w:hanging="0"/>
        <w:jc w:val="left"/>
        <w:rPr/>
      </w:pPr>
      <w:r>
        <w:rPr/>
        <w:t>​</w:t>
      </w:r>
    </w:p>
    <w:tbl>
      <w:tblPr>
        <w:tblW w:w="5031" w:type="dxa"/>
        <w:jc w:val="left"/>
        <w:tblInd w:w="0" w:type="dxa"/>
        <w:tblLayout w:type="fixed"/>
        <w:tblCellMar>
          <w:top w:w="28" w:type="dxa"/>
          <w:left w:w="28" w:type="dxa"/>
          <w:bottom w:w="28" w:type="dxa"/>
          <w:right w:w="28" w:type="dxa"/>
        </w:tblCellMar>
      </w:tblPr>
      <w:tblGrid>
        <w:gridCol w:w="124"/>
        <w:gridCol w:w="256"/>
        <w:gridCol w:w="4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fines, restitution or disgorgement of profits or revenues;</w:t>
            </w:r>
          </w:p>
        </w:tc>
      </w:tr>
    </w:tbl>
    <w:p>
      <w:pPr>
        <w:pStyle w:val="TextBody"/>
        <w:bidi w:val="0"/>
        <w:spacing w:before="0" w:after="0"/>
        <w:ind w:left="360" w:right="0" w:hanging="0"/>
        <w:jc w:val="left"/>
        <w:rPr/>
      </w:pPr>
      <w:r>
        <w:rPr/>
        <w:t>​</w:t>
      </w:r>
    </w:p>
    <w:tbl>
      <w:tblPr>
        <w:tblW w:w="4566" w:type="dxa"/>
        <w:jc w:val="left"/>
        <w:tblInd w:w="0" w:type="dxa"/>
        <w:tblLayout w:type="fixed"/>
        <w:tblCellMar>
          <w:top w:w="28" w:type="dxa"/>
          <w:left w:w="28" w:type="dxa"/>
          <w:bottom w:w="28" w:type="dxa"/>
          <w:right w:w="28" w:type="dxa"/>
        </w:tblCellMar>
      </w:tblPr>
      <w:tblGrid>
        <w:gridCol w:w="124"/>
        <w:gridCol w:w="256"/>
        <w:gridCol w:w="41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suspension or withdrawal of marketing approvals;</w:t>
            </w:r>
          </w:p>
        </w:tc>
      </w:tr>
    </w:tbl>
    <w:p>
      <w:pPr>
        <w:pStyle w:val="TextBody"/>
        <w:bidi w:val="0"/>
        <w:spacing w:before="0" w:after="0"/>
        <w:ind w:left="360" w:right="0" w:hanging="0"/>
        <w:jc w:val="left"/>
        <w:rPr/>
      </w:pPr>
      <w:r>
        <w:rPr/>
        <w:t>​</w:t>
      </w:r>
    </w:p>
    <w:tbl>
      <w:tblPr>
        <w:tblW w:w="7686" w:type="dxa"/>
        <w:jc w:val="left"/>
        <w:tblInd w:w="0" w:type="dxa"/>
        <w:tblLayout w:type="fixed"/>
        <w:tblCellMar>
          <w:top w:w="28" w:type="dxa"/>
          <w:left w:w="28" w:type="dxa"/>
          <w:bottom w:w="28" w:type="dxa"/>
          <w:right w:w="28" w:type="dxa"/>
        </w:tblCellMar>
      </w:tblPr>
      <w:tblGrid>
        <w:gridCol w:w="124"/>
        <w:gridCol w:w="256"/>
        <w:gridCol w:w="73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seizure or detention, or refusal to permit the import or export of the product; and</w:t>
            </w:r>
          </w:p>
        </w:tc>
      </w:tr>
    </w:tbl>
    <w:p>
      <w:pPr>
        <w:pStyle w:val="TextBody"/>
        <w:bidi w:val="0"/>
        <w:spacing w:before="0" w:after="0"/>
        <w:ind w:left="360" w:right="0" w:hanging="0"/>
        <w:jc w:val="left"/>
        <w:rPr/>
      </w:pPr>
      <w:r>
        <w:rPr/>
        <w:t>​</w:t>
      </w:r>
    </w:p>
    <w:tbl>
      <w:tblPr>
        <w:tblW w:w="5286" w:type="dxa"/>
        <w:jc w:val="left"/>
        <w:tblInd w:w="0" w:type="dxa"/>
        <w:tblLayout w:type="fixed"/>
        <w:tblCellMar>
          <w:top w:w="28" w:type="dxa"/>
          <w:left w:w="28" w:type="dxa"/>
          <w:bottom w:w="28" w:type="dxa"/>
          <w:right w:w="28" w:type="dxa"/>
        </w:tblCellMar>
      </w:tblPr>
      <w:tblGrid>
        <w:gridCol w:w="124"/>
        <w:gridCol w:w="256"/>
        <w:gridCol w:w="4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injunctions or the imposition of civil or criminal penalties.</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FDA’s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r>
        <w:rPr>
          <w:rFonts w:ascii="Times New Roman;Times;serif" w:hAnsi="Times New Roman;Times;serif"/>
          <w:sz w:val="20"/>
          <w:shd w:fill="FFFFFF" w:val="clear"/>
        </w:rPr>
        <w:t>.</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shd w:fill="FFFFFF" w:val="clear"/>
        </w:rPr>
        <w:t>We face significant competition and if our competitors develop and market products that are more effective</w:t>
      </w:r>
      <w:r>
        <w:rPr>
          <w:rFonts w:ascii="Times New Roman;Times;serif" w:hAnsi="Times New Roman;Times;serif"/>
          <w:i/>
          <w:sz w:val="20"/>
          <w:shd w:fill="FFFFFF" w:val="clear"/>
        </w:rPr>
        <w:t>, </w:t>
      </w:r>
      <w:r>
        <w:rPr>
          <w:rFonts w:ascii="Times New Roman;Times;serif" w:hAnsi="Times New Roman;Times;serif"/>
          <w:b/>
          <w:i/>
          <w:sz w:val="20"/>
          <w:shd w:fill="FFFFFF" w:val="clear"/>
        </w:rPr>
        <w:t>safer or less expensive than the product candidates we develop</w:t>
      </w:r>
      <w:r>
        <w:rPr>
          <w:rFonts w:ascii="Times New Roman;Times;serif" w:hAnsi="Times New Roman;Times;serif"/>
          <w:i/>
          <w:sz w:val="20"/>
          <w:shd w:fill="FFFFFF" w:val="clear"/>
        </w:rPr>
        <w:t>, </w:t>
      </w:r>
      <w:r>
        <w:rPr>
          <w:rFonts w:ascii="Times New Roman;Times;serif" w:hAnsi="Times New Roman;Times;serif"/>
          <w:b/>
          <w:i/>
          <w:sz w:val="20"/>
          <w:shd w:fill="FFFFFF" w:val="clear"/>
        </w:rPr>
        <w:t>our commercial opportunities will be negatively impacted</w:t>
      </w:r>
      <w:r>
        <w:rPr>
          <w:rFonts w:ascii="Times New Roman;Times;serif" w:hAnsi="Times New Roman;Times;serif"/>
          <w:i/>
          <w:sz w:val="20"/>
          <w:shd w:fill="FFFFFF" w:val="clear"/>
        </w:rPr>
        <w: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life sciences industry is highly competitive. We are currently developing therapeutics that will compete, if approved, with other products and therapies that currently exist, are being developed or will in the future be developed, some of which we may not currently be aware.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have competitors both in the United States and internationally, including major multinational pharmaceutical companies, established biotechnology companies, specialty pharmaceutical companies, universities and other research institutions. Many of our competitors have significantly greater financial, manufacturing, marketing,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development, technical and human resources than we do. Large pharmaceutical companies, in particular, have extensive experience in clinical testing, obtaining marketing approvals, recruiting patients and manufacturing pharmaceutical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companies may also invest heavily to accelerate discovery and development of novel compounds or to in-license novel compounds that could make the product candidates that we develop obsolete. Mergers and acquisitions in the pharmaceutical and biotechnology industries may result in even more resources being concentrated among a smaller number of our competitors. As a result of all of these factors, our competitors may succeed in obtaining patent protection and/or marketing approval or discovering, developing and commercializing products in our field before we do.</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There are a large number of companies developing or marketing treatments for cancer, including many major pharmaceutical and biotechnology companies. These treatments consist both of small molecule drug products, such as traditional chemotherapy, as well as novel immunotherapies. For example, a number of companies are developing programs for the targets that we are exploring for our BDC programs, including, but not limited to, for EphA2, Tianjin Conjustar Biologics Co., Ltd. and Stemline Therapeutics, and for Nectin-4, Pfizer Inc. (formerly Seagen, acquired by Pfizer Inc. in December 2023) which has a marketed Nectin-4 antibody-drug conjugate, Eli Lilly and Company, and Mabwell Therapeutics, Inc. Furthermore, many companies are developing programs for radiopharmaceutical therapies.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commercial opportunity could be reduced or eliminated if our competitors develop and commercialize products that are safer, more effective, have fewer or less severe effects, are more convenient, have a broader label, are marketed more effectively, are reimbursed or are less expensive than any products that we may develop. Our competitors also may obtain FDA, EU or other marketing approval for their products more rapidly than we may obtain approval for ours, which could result in our competitors establishing a strong market position before we are able to enter the market. Even if the product candidates we develop achieve marketing approval, they may be priced at a significant premium over competitive products if any have been approved by then, resulting in reduced competitiveness.</w:t>
      </w:r>
    </w:p>
    <w:p>
      <w:pPr>
        <w:pStyle w:val="TextBody"/>
        <w:bidi w:val="0"/>
        <w:spacing w:before="0" w:after="0"/>
        <w:ind w:left="0" w:right="0" w:firstLine="72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Smaller and other early-stage companies may also prove to be significant competitors. These third parties compete with us in recruiting and retaining qualified scientific and management personnel, establishing clinical trial sites and patient registration for clinical trials, as well as in acquiring technologies complementary to, or necessary for, our programs. In addition, the pharmaceutical industry is characterized by rapid technological change. If we fail to stay at the forefront of technological change, we may be unable to compete effectively. Technological advances or products developed by our competitors may render our product candidates obsolete, less competitive or not economical.</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The commercial success of any current or future product candidate will depend upon the degree of market acceptance by physicians</w:t>
      </w:r>
      <w:r>
        <w:rPr>
          <w:rFonts w:ascii="Times New Roman;Times;serif" w:hAnsi="Times New Roman;Times;serif"/>
          <w:i/>
          <w:sz w:val="20"/>
        </w:rPr>
        <w:t xml:space="preserve">, </w:t>
      </w:r>
      <w:r>
        <w:rPr>
          <w:rFonts w:ascii="Times New Roman;Times;serif" w:hAnsi="Times New Roman;Times;serif"/>
          <w:b/>
          <w:i/>
          <w:sz w:val="20"/>
        </w:rPr>
        <w:t>patients</w:t>
      </w:r>
      <w:r>
        <w:rPr>
          <w:rFonts w:ascii="Times New Roman;Times;serif" w:hAnsi="Times New Roman;Times;serif"/>
          <w:i/>
          <w:sz w:val="20"/>
        </w:rPr>
        <w:t xml:space="preserve">, </w:t>
      </w:r>
      <w:r>
        <w:rPr>
          <w:rFonts w:ascii="Times New Roman;Times;serif" w:hAnsi="Times New Roman;Times;serif"/>
          <w:b/>
          <w:i/>
          <w:sz w:val="20"/>
        </w:rPr>
        <w:t>payors and others in the medical community</w:t>
      </w:r>
      <w:r>
        <w:rPr>
          <w:rFonts w:ascii="Times New Roman;Times;serif" w:hAnsi="Times New Roman;Times;serif"/>
          <w:i/>
          <w:sz w:val="20"/>
        </w:rPr>
        <w: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have never commercialized a product, and even if we obtain any regulatory approval for our product candidates, the commercial success of our product candidates will depend in part on the medical community, patients, and payors accepting products based on our Bicycle peptides in general, and our product candidates in particular, as effective, safe and cost-effective. Any product that we bring to the market may not gain market acceptance by physicians, patients, payors and others in the medical community.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degree of market acceptance of these product candidates, if approved for commercial sale, will depend on a number of factors, including:</w:t>
      </w:r>
    </w:p>
    <w:p>
      <w:pPr>
        <w:pStyle w:val="TextBody"/>
        <w:bidi w:val="0"/>
        <w:spacing w:before="0" w:after="0"/>
        <w:ind w:left="0" w:right="0" w:hanging="0"/>
        <w:jc w:val="left"/>
        <w:rPr/>
      </w:pPr>
      <w:r>
        <w:rPr/>
        <w:t>​</w:t>
      </w:r>
    </w:p>
    <w:tbl>
      <w:tblPr>
        <w:tblW w:w="6606" w:type="dxa"/>
        <w:jc w:val="left"/>
        <w:tblInd w:w="0" w:type="dxa"/>
        <w:tblLayout w:type="fixed"/>
        <w:tblCellMar>
          <w:top w:w="28" w:type="dxa"/>
          <w:left w:w="28" w:type="dxa"/>
          <w:bottom w:w="28" w:type="dxa"/>
          <w:right w:w="28" w:type="dxa"/>
        </w:tblCellMar>
      </w:tblPr>
      <w:tblGrid>
        <w:gridCol w:w="124"/>
        <w:gridCol w:w="256"/>
        <w:gridCol w:w="6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efficacy and potential advantages over alternative treatments;</w:t>
            </w:r>
          </w:p>
        </w:tc>
      </w:tr>
    </w:tbl>
    <w:p>
      <w:pPr>
        <w:pStyle w:val="TextBody"/>
        <w:bidi w:val="0"/>
        <w:spacing w:before="0" w:after="0"/>
        <w:ind w:left="36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frequency and severity of any side effects, including any limitations or warnings contained in a product’s approved labeling;</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36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frequency and severity of any side effects resulting from follow-up requirements for the administration of our product candidates;</w:t>
            </w:r>
          </w:p>
        </w:tc>
      </w:tr>
    </w:tbl>
    <w:p>
      <w:pPr>
        <w:pStyle w:val="TextBody"/>
        <w:bidi w:val="0"/>
        <w:spacing w:before="0" w:after="0"/>
        <w:ind w:left="360" w:right="0" w:hanging="0"/>
        <w:jc w:val="left"/>
        <w:rPr/>
      </w:pPr>
      <w:r>
        <w:rPr/>
        <w:t>​</w:t>
      </w:r>
    </w:p>
    <w:tbl>
      <w:tblPr>
        <w:tblW w:w="4761" w:type="dxa"/>
        <w:jc w:val="left"/>
        <w:tblInd w:w="0" w:type="dxa"/>
        <w:tblLayout w:type="fixed"/>
        <w:tblCellMar>
          <w:top w:w="28" w:type="dxa"/>
          <w:left w:w="28" w:type="dxa"/>
          <w:bottom w:w="28" w:type="dxa"/>
          <w:right w:w="28" w:type="dxa"/>
        </w:tblCellMar>
      </w:tblPr>
      <w:tblGrid>
        <w:gridCol w:w="124"/>
        <w:gridCol w:w="256"/>
        <w:gridCol w:w="43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relative convenience and ease of administration;</w:t>
            </w:r>
          </w:p>
        </w:tc>
      </w:tr>
    </w:tbl>
    <w:p>
      <w:pPr>
        <w:pStyle w:val="TextBody"/>
        <w:bidi w:val="0"/>
        <w:spacing w:before="0" w:after="0"/>
        <w:ind w:left="360" w:right="0" w:hanging="0"/>
        <w:jc w:val="left"/>
        <w:rPr/>
      </w:pPr>
      <w:r>
        <w:rPr/>
        <w:t>​</w:t>
      </w:r>
    </w:p>
    <w:tbl>
      <w:tblPr>
        <w:tblW w:w="9741" w:type="dxa"/>
        <w:jc w:val="left"/>
        <w:tblInd w:w="0" w:type="dxa"/>
        <w:tblLayout w:type="fixed"/>
        <w:tblCellMar>
          <w:top w:w="28" w:type="dxa"/>
          <w:left w:w="28" w:type="dxa"/>
          <w:bottom w:w="28" w:type="dxa"/>
          <w:right w:w="28" w:type="dxa"/>
        </w:tblCellMar>
      </w:tblPr>
      <w:tblGrid>
        <w:gridCol w:w="124"/>
        <w:gridCol w:w="256"/>
        <w:gridCol w:w="9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willingness of the target patient population to try new therapies and of physicians to prescribe these therapies;</w:t>
            </w:r>
          </w:p>
        </w:tc>
      </w:tr>
    </w:tbl>
    <w:p>
      <w:pPr>
        <w:pStyle w:val="TextBody"/>
        <w:bidi w:val="0"/>
        <w:spacing w:before="0" w:after="0"/>
        <w:ind w:left="360" w:right="0" w:hanging="0"/>
        <w:jc w:val="left"/>
        <w:rPr/>
      </w:pPr>
      <w:r>
        <w:rPr/>
        <w:t>​</w:t>
      </w:r>
    </w:p>
    <w:tbl>
      <w:tblPr>
        <w:tblW w:w="9426" w:type="dxa"/>
        <w:jc w:val="left"/>
        <w:tblInd w:w="0" w:type="dxa"/>
        <w:tblLayout w:type="fixed"/>
        <w:tblCellMar>
          <w:top w:w="28" w:type="dxa"/>
          <w:left w:w="28" w:type="dxa"/>
          <w:bottom w:w="28" w:type="dxa"/>
          <w:right w:w="28" w:type="dxa"/>
        </w:tblCellMar>
      </w:tblPr>
      <w:tblGrid>
        <w:gridCol w:w="124"/>
        <w:gridCol w:w="256"/>
        <w:gridCol w:w="90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strength of marketing and distribution support and timing of market introduction of competitive products;</w:t>
            </w:r>
          </w:p>
        </w:tc>
      </w:tr>
    </w:tbl>
    <w:p>
      <w:pPr>
        <w:pStyle w:val="TextBody"/>
        <w:bidi w:val="0"/>
        <w:spacing w:before="0" w:after="0"/>
        <w:ind w:left="360" w:right="0" w:hanging="0"/>
        <w:jc w:val="left"/>
        <w:rPr/>
      </w:pPr>
      <w:r>
        <w:rPr/>
        <w:t>​</w:t>
      </w:r>
    </w:p>
    <w:tbl>
      <w:tblPr>
        <w:tblW w:w="6816" w:type="dxa"/>
        <w:jc w:val="left"/>
        <w:tblInd w:w="0" w:type="dxa"/>
        <w:tblLayout w:type="fixed"/>
        <w:tblCellMar>
          <w:top w:w="28" w:type="dxa"/>
          <w:left w:w="28" w:type="dxa"/>
          <w:bottom w:w="28" w:type="dxa"/>
          <w:right w:w="28" w:type="dxa"/>
        </w:tblCellMar>
      </w:tblPr>
      <w:tblGrid>
        <w:gridCol w:w="124"/>
        <w:gridCol w:w="256"/>
        <w:gridCol w:w="6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publicity concerning our products or competing products and treatments; and</w:t>
            </w:r>
          </w:p>
        </w:tc>
      </w:tr>
    </w:tbl>
    <w:p>
      <w:pPr>
        <w:pStyle w:val="TextBody"/>
        <w:bidi w:val="0"/>
        <w:spacing w:before="0" w:after="0"/>
        <w:ind w:left="360" w:right="0" w:hanging="0"/>
        <w:jc w:val="left"/>
        <w:rPr/>
      </w:pPr>
      <w:r>
        <w:rPr/>
        <w:t>​</w:t>
      </w:r>
    </w:p>
    <w:tbl>
      <w:tblPr>
        <w:tblW w:w="6231" w:type="dxa"/>
        <w:jc w:val="left"/>
        <w:tblInd w:w="0" w:type="dxa"/>
        <w:tblLayout w:type="fixed"/>
        <w:tblCellMar>
          <w:top w:w="28" w:type="dxa"/>
          <w:left w:w="28" w:type="dxa"/>
          <w:bottom w:w="28" w:type="dxa"/>
          <w:right w:w="28" w:type="dxa"/>
        </w:tblCellMar>
      </w:tblPr>
      <w:tblGrid>
        <w:gridCol w:w="124"/>
        <w:gridCol w:w="256"/>
        <w:gridCol w:w="5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sufficient third-party insurance coverage and adequate reimbursement.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Even if a product candidate displays a favorable efficacy and safety profile in preclinical studies and clinical trials, market acceptance of the product, if approved for commercial sale, will not be known until after it is launched. Our efforts to educate the medical community and payors on the benefits of our product candidates may require significant resources and may never be successful. Such efforts to educate the marketplace may require more resources than are required by the conventional technologies marketed by our competitors, particularly due to the novelty of our Bicycle approach. If these products do not achieve an adequate level of acceptance, we may not generate significant product revenue and may not become profitable</w:t>
      </w:r>
      <w:r>
        <w:rPr>
          <w:rFonts w:ascii="Times New Roman;Times;serif" w:hAnsi="Times New Roman;Times;serif"/>
          <w:sz w:val="20"/>
          <w:shd w:fill="FFFFFF" w:val="clear"/>
        </w:rPr>
        <w:t>.</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If the market opportunities for our product candidates are smaller than we believe they are</w:t>
      </w:r>
      <w:r>
        <w:rPr>
          <w:rFonts w:ascii="Times New Roman;Times;serif" w:hAnsi="Times New Roman;Times;serif"/>
          <w:i/>
          <w:sz w:val="20"/>
        </w:rPr>
        <w:t xml:space="preserve">, </w:t>
      </w:r>
      <w:r>
        <w:rPr>
          <w:rFonts w:ascii="Times New Roman;Times;serif" w:hAnsi="Times New Roman;Times;serif"/>
          <w:b/>
          <w:i/>
          <w:sz w:val="20"/>
        </w:rPr>
        <w:t>our product revenues may be adversely affected and our business may suffer</w:t>
      </w:r>
      <w:r>
        <w:rPr>
          <w:rFonts w:ascii="Times New Roman;Times;serif" w:hAnsi="Times New Roman;Times;serif"/>
          <w:i/>
          <w:sz w:val="20"/>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currently focus our research and product development on treatments for oncology indications and our product candidates are designed to target specific tumor antigens. Our understanding of both the number of people who have these diseases, as well as the subset of people with these diseases who have the potential to benefit from treatment with our product candidates, is based on estimates. These estimates may prove to be incorrect and new studies may reduce the estimated incidence or prevalence of these diseases. Patient identification efforts also influence the ability to address a patient population. If efforts in patient identification are unsuccessful or less impactful than anticipated, we may not address the entirety of the opportunity we are seeking.</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addition, the tumor antigens that our product candidates target may not be expressed as broadly as we anticipate. Further, if companion diagnostics are not developed alongside our product candidates, testing patients for the tumor antigens may not be possible, which would hamper our ability to identify patients who could benefit from treatment with our product candidates.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a result, the number of patients we are able to identify in the United States, the European Union and elsewhere may turn out to be lower than expected, may not be otherwise amenable to treatment with our products or patients may become increasingly difficult to access, all of which would adversely affect our business, financial condition, results of operations and prospects</w:t>
      </w:r>
      <w:r>
        <w:rPr>
          <w:rFonts w:ascii="Times New Roman;Times;serif" w:hAnsi="Times New Roman;Times;serif"/>
          <w:sz w:val="20"/>
          <w:shd w:fill="FFFFFF" w:val="clear"/>
        </w:rPr>
        <w:t>.</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shd w:fill="FFFFFF" w:val="clear"/>
        </w:rPr>
        <w:t>The insurance coverage and reimbursement status of newly approved products is uncertain</w:t>
      </w:r>
      <w:r>
        <w:rPr>
          <w:rFonts w:ascii="Times New Roman;Times;serif" w:hAnsi="Times New Roman;Times;serif"/>
          <w:i/>
          <w:sz w:val="20"/>
          <w:shd w:fill="FFFFFF" w:val="clear"/>
        </w:rPr>
        <w:t xml:space="preserve">. </w:t>
      </w:r>
      <w:r>
        <w:rPr>
          <w:rFonts w:ascii="Times New Roman;Times;serif" w:hAnsi="Times New Roman;Times;serif"/>
          <w:b/>
          <w:i/>
          <w:sz w:val="20"/>
          <w:shd w:fill="FFFFFF" w:val="clear"/>
        </w:rPr>
        <w:t>Failure to obtain or maintain adequate coverage and reimbursement for any of our product candidates</w:t>
      </w:r>
      <w:r>
        <w:rPr>
          <w:rFonts w:ascii="Times New Roman;Times;serif" w:hAnsi="Times New Roman;Times;serif"/>
          <w:i/>
          <w:sz w:val="20"/>
          <w:shd w:fill="FFFFFF" w:val="clear"/>
        </w:rPr>
        <w:t>, </w:t>
      </w:r>
      <w:r>
        <w:rPr>
          <w:rFonts w:ascii="Times New Roman;Times;serif" w:hAnsi="Times New Roman;Times;serif"/>
          <w:b/>
          <w:i/>
          <w:sz w:val="20"/>
          <w:shd w:fill="FFFFFF" w:val="clear"/>
        </w:rPr>
        <w:t>if approved</w:t>
      </w:r>
      <w:r>
        <w:rPr>
          <w:rFonts w:ascii="Times New Roman;Times;serif" w:hAnsi="Times New Roman;Times;serif"/>
          <w:i/>
          <w:sz w:val="20"/>
          <w:shd w:fill="FFFFFF" w:val="clear"/>
        </w:rPr>
        <w:t>, </w:t>
      </w:r>
      <w:r>
        <w:rPr>
          <w:rFonts w:ascii="Times New Roman;Times;serif" w:hAnsi="Times New Roman;Times;serif"/>
          <w:b/>
          <w:i/>
          <w:sz w:val="20"/>
          <w:shd w:fill="FFFFFF" w:val="clear"/>
        </w:rPr>
        <w:t>could limit our ability to market those products and decrease our ability to generate revenue</w:t>
      </w:r>
      <w:r>
        <w:rPr>
          <w:rFonts w:ascii="Times New Roman;Times;serif" w:hAnsi="Times New Roman;Times;serif"/>
          <w:i/>
          <w:sz w:val="20"/>
          <w:shd w:fill="FFFFFF" w:val="clear"/>
        </w:rPr>
        <w: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expect the cost of our product candidates to be substantial, when and if they achieve market approval. The availability and extent of reimbursement by governmental and private payors is essential for most patients to be able to afford expensive treatments. Sales of our product candidates will depend substantially, both domestically and abroad, on the extent to which the costs of our product candidates will be paid by private payors, such as private health coverage insurers, health maintenance, managed care, pharmacy benefit and similar healthcare management organizations, 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reimbursed by government health care programs, such as Medicare and Medicaid. We may not be able to provide data sufficient to gain acceptance with respect to coverage and reimbursement. If reimbursement is not available, or is available only at limited levels, we may not be able to successfully commercialize our product candidates, even if approved. Even if coverage is provided, the approved reimbursement amount may not be high enough to allow us to establish or maintain pricing sufficient to realize a sufficient return on our investment.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There is significant uncertainty related to the insurance coverage and reimbursement of newly approved products. In the United States, the principal decisions about coverage and reimbursement for new medicines are typically made by the CMS as the CMS decides whether and to what extent a new medicine will be covered and reimbursed under Medicare. Private payors tend to follow CMS to a substantial degree. It is difficult to predict what CMS will decide with respect to coverage and reimbursement for novel products such as ours, as there is no body of established practices and precedents for these new products. Coverage and reimbursement by a third-party payor may depend upon a number of factors, including the third-party payor’s determination that use of a product is: (1) a covered benefit under its health plan; (2) safe, effective and medically necessary; (3) appropriate for the specific patient; (4) cost-effective; and (5) neither experimental nor investigational. In the United States, no uniform policy of coverage and reimbursement for products exists among third-party payors.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Even if we obtain coverage for a given product, the resulting reimbursement payment rates might not be adequate for us to achieve or sustain profitability or may require co-payments that patients find unacceptably high. Third-party payors may limit coverage to specific drug products on an approved list, also known as a formulary, which might not include all of the approved drugs for a particular indication.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Additionally, third-party payors may not cover, or provide adequate reimbursement for, long-term follow-up evaluations required following the use of product candidates. Patients are unlikely to use our product candidates unless coverage is provided and reimbursement is adequate to cover a significant portion of the cost of our product candidates. Because our product candidates may have a higher cost of goods than conventional therapies, and may require long-term follow-up evaluations, the risk that coverage and reimbursement rates may be inadequate for us to achieve profitability may be greater. There is significant uncertainty related to insurance coverage and reimbursement of newly approved products. It is difficult to predict at this time what third-party payors will decide with respect to the coverage and reimbursement for our product candidates.</w:t>
        <w:br/>
        <w:t>​</w:t>
      </w:r>
    </w:p>
    <w:p>
      <w:pPr>
        <w:pStyle w:val="TextBody"/>
        <w:bidi w:val="0"/>
        <w:spacing w:before="0" w:after="0"/>
        <w:ind w:left="0" w:right="0" w:firstLine="720"/>
        <w:jc w:val="left"/>
        <w:rPr>
          <w:rFonts w:ascii="Times New Roman;Times;serif" w:hAnsi="Times New Roman;Times;serif"/>
          <w:sz w:val="20"/>
        </w:rPr>
      </w:pPr>
      <w:bookmarkStart w:id="1008" w:name="_cp_text_1_38"/>
      <w:bookmarkEnd w:id="1008"/>
      <w:r>
        <w:rPr>
          <w:rFonts w:ascii="Times New Roman;Times;serif" w:hAnsi="Times New Roman;Times;serif"/>
          <w:sz w:val="20"/>
        </w:rPr>
        <w:t>We or our collaborators will be required to obtain coverage and reimbursement for companion diagnostic tests separate and apart from the coverage and reimbursement we seek for our product candidates, once approved. There is significant uncertainty regarding our and our collaborators’ ability to obtain coverage and adequate reimbursement for any companion diagnostic test for the same reasons applicable to our product candidates.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Outside the United States, certain countries, including a number of member states of the European Union, set prices and reimbursement for pharmaceutical products, or medicinal products, as they are commonly referred to in the European Union. These countries have broad discretion in setting prices and we cannot be sure that such prices and reimbursement will be acceptable to us or our collaborators. If the regulatory authorities in these jurisdictions set prices or reimbursement levels that are not commercially attractive for us or our collaborators, our revenues from sales by us or our collaborators, and the potential profitability of our drug products, in those countries would be negatively affected. An increasing number of countries are taking initiatives to attempt to reduce large budget deficits by focusing cost-cutting efforts on pharmaceuticals for their state-run health care systems. These international price control efforts have impacted all regions of the world but have been most drastic in the European Union. Additionally, some countries require approval of the sale price of a product before it can be lawfully marketed. In many countries, the pricing review period begins after marketing or product licensing approval is granted. To obtain reimbursement or pricing approval in some countries, we, or any collaborators, may be required to conduct a clinical trial that compares the cost-effectiveness of our product to other available therapies. As a result, we might obtain marketing approval for a product in a particular country, but then may experience delays in the reimbursement approval of our product or be subject to price regulations that would delay our commercial launch of the product, possibly for lengthy time periods, which could negatively impact the revenues we are able to generate from the sale of the product in that particular country.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Moreover, efforts by governments and payors, in the United States and abroad, to cap or reduce healthcare costs may cause such organizations to limit both coverage and level of reimbursement for new products approved and, as a result, they may not cover or provide adequate reimbursement for our product candidates. There has been increasing legislative and enforcement interest in the United States with respect to specialty drugs. For example, HHS imposes rebates on certain Medicare Part B and Medicare Part D products to penalize price increases that outpace inflation on an annual basis. HHS has also been empowered to negotiate the price of certain single-source drugs that have been on the market for at least seven years covered under Medicare as part of the Medicare Drug Price Negotiation Program. Each year up to 20 products will be selected by HHS for the Medicare Drug Price Negotiation Program. Products subject to the Medicare Drug Price Negotiation Program are expected to experience a significant reduction in reimbursement from the Medicare program on a per unit basis.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other treatments, has become very intense. As a result, increasingly high barriers are being erected to the entry of new products.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January 12, 2025, the HTA Regulation entered into application through a phased implementation. It is intended to boost cooperation among EU Member States in assessing health technologies, including new medicinal products. The HTA Regulation establishes a framework for joint clinical assessments, joint scientific consultations, and the early identification of emerging health technologies. The HTA Regulation permits Member States to use common HTA tools, methodologies, and procedures across the European Union and requires them to rely on EU-level joint clinical assessment reports for the clinical components of their national HTA evaluations. EU Member States, however, remain responsible for assessing non-clinical aspects, such as economic, ethical, and social considerations, and for making pricing and reimbursement decisions at the national level. Individual Member States continue to be responsible for assessing non-clinical (e.g., economic, social, ethical) aspects of health technologies, and making decisions on pricing and reimbursement. As implementation of the HTA Regulation is phased in and key methodological and procedural guidance continues to evolve, there remains uncertainty regarding the evidence requirements, timing, and impact of joint clinical assessments on national reimbursement processes. The new framework may result in additional or differently structured evidentiary expectations, misalignment between assessment and regulatory timelines, or delays in national decisions. Any adverse or delayed HTA outcomes, or divergent national reimbursement decisions, could negatively affect our ability to obtain or maintain favorable pricing and reimbursement status for any product candidates, if approved. If we are unable to maintain favorable pricing and reimbursement status in Member States for product candidates that we may successfully develop and for which we may obtain regulatory approval, any anticipated revenue from and growth prospects for those products in the EU could be negatively affected. In light of the fact that the U.K. has left the EU, the HTA Regulation does not apply in the U.K. However, the U.K. MHRA is working with U.K. HTA bodies and other national organizations, such as the Scottish Medicines Consortium, the National Institute for Health and Care Excellence, and the All-Wales Medicines Strategy Group, to introduce new pathways supporting innovative approaches to the safe, timely and efficient development of medicinal products. There can be no assurance that we will be able to obtain or sustain favorable pricing or reimbursement in the U.K. under these evolving frameworks, and any such inability could materially and adversely affect our anticipated revenues and growth prospects in that market.</w:t>
      </w:r>
    </w:p>
    <w:p>
      <w:pPr>
        <w:pStyle w:val="TextBody"/>
        <w:bidi w:val="0"/>
        <w:spacing w:before="0" w:after="0"/>
        <w:ind w:left="0" w:right="0" w:hanging="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If reimbursement of our products is unavailable or limited in scope or amount, or if pricing is set at unsatisfactory levels, our business could be harmed.</w:t>
      </w:r>
    </w:p>
    <w:p>
      <w:pPr>
        <w:pStyle w:val="TextBody"/>
        <w:shd w:fill="FFFFFF" w:val="clear"/>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shd w:fill="FFFFFF" w:val="clear"/>
        </w:rPr>
        <w:t>If the FDA or comparable foreign regulatory authorities approve generic versions of any of our product candidates that receive marketing approval</w:t>
      </w:r>
      <w:r>
        <w:rPr>
          <w:rFonts w:ascii="Times New Roman;Times;serif" w:hAnsi="Times New Roman;Times;serif"/>
          <w:i/>
          <w:sz w:val="20"/>
          <w:shd w:fill="FFFFFF" w:val="clear"/>
        </w:rPr>
        <w:t>, </w:t>
      </w:r>
      <w:r>
        <w:rPr>
          <w:rFonts w:ascii="Times New Roman;Times;serif" w:hAnsi="Times New Roman;Times;serif"/>
          <w:b/>
          <w:i/>
          <w:sz w:val="20"/>
          <w:shd w:fill="FFFFFF" w:val="clear"/>
        </w:rPr>
        <w:t>or such authorities do not grant such products appropriate periods of data exclusivity before approving generic versions of such products</w:t>
      </w:r>
      <w:r>
        <w:rPr>
          <w:rFonts w:ascii="Times New Roman;Times;serif" w:hAnsi="Times New Roman;Times;serif"/>
          <w:i/>
          <w:sz w:val="20"/>
          <w:shd w:fill="FFFFFF" w:val="clear"/>
        </w:rPr>
        <w:t>, </w:t>
      </w:r>
      <w:r>
        <w:rPr>
          <w:rFonts w:ascii="Times New Roman;Times;serif" w:hAnsi="Times New Roman;Times;serif"/>
          <w:b/>
          <w:i/>
          <w:sz w:val="20"/>
          <w:shd w:fill="FFFFFF" w:val="clear"/>
        </w:rPr>
        <w:t>the sales of such products could be adversely affected</w:t>
      </w:r>
      <w:r>
        <w:rPr>
          <w:rFonts w:ascii="Times New Roman;Times;serif" w:hAnsi="Times New Roman;Times;serif"/>
          <w:i/>
          <w:sz w:val="20"/>
          <w:shd w:fill="FFFFFF" w:val="clea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Once an NDA is approved, the product covered thereby becomes a “reference-listed drug” in the FDA’s publication, “Approved Drug Products with Therapeutic Equivalence Evaluations,” or the Orange Book. Manufacturers may seek approval of generic versions of reference-listed drugs through submission of abbreviated new drug applications, or ANDAs, in the United States. In support of an ANDA, a generic manufacturer generally must show that its product has the same active ingredient(s), dosage form, strength, route of administration and conditions of use 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labeling as the reference-listed drug and that the generic version is bioequivalent to the reference-listed drug, meaning, in part, that it is absorbed in the body at the same rate and to the same extent. Generic products may be significantly less costly to bring to market than the reference-listed drug and companies that produce generic products are generally able to offer them at lower prices. Thus, following the introduction of a generic drug, a significant percentage of the sales of any branded product or reference-listed drug may be typically lost to the generic product, and the price of the branded product may be lowered.</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FDA may not accept for review or approve an ANDA for a generic product until any applicable period of non-patent exclusivity for the reference-listed drug has expired. The Federal Food, Drug, and Cosmetic Act, or FDCA, provides a period of five years of non-patent exclusivity for a new drug containing a new chemical entity, or NCE. Specifically, in cases where such exclusivity has been granted, an ANDA may not be filed with the FDA until the expiration of five years unless the submission is accompanied by a Paragraph IV certification that a patent covering the reference-listed drug is either invalid or will not be infringed by the generic product, in which case the applicant may submit its application four years following approval of the reference-listed drug. It is unclear whether the FDA will treat the active ingredients in our product candidates as NCEs and, therefore, afford them five years of NCE data exclusivity if they are approved. If any product we develop does not receive five years of NCE exclusivity, the FDA may approve generic versions of such product three years after its date of approval, subject to the requirement that the ANDA applicant certifies to any patents listed for our products in the Orange Book. Three-year exclusivity is given to a non-NCE drug if the NDA includes reports of one or more new clinical investigations, other than bioavailability or bioequivalence studies, that were conducted by or for the applicant and are essential to the approval of the NDA. Manufacturers may seek to launch these generic products following the expiration of the applicable marketing exclusivity period, even if we still have patent protection for our product.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Competition that our products may face from generic versions of our products could negatively impact our future revenue, profitability and cash flows and substantially limit our ability to obtain a return on our investments in those product candidates</w:t>
      </w:r>
      <w:r>
        <w:rPr>
          <w:rFonts w:ascii="Times New Roman;Times;serif" w:hAnsi="Times New Roman;Times;serif"/>
          <w:sz w:val="20"/>
          <w:shd w:fill="FFFFFF" w:val="clear"/>
        </w:rPr>
        <w:t>.</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shd w:fill="FFFFFF" w:val="clear"/>
        </w:rPr>
        <w:t>We may be subject</w:t>
      </w:r>
      <w:r>
        <w:rPr>
          <w:rFonts w:ascii="Times New Roman;Times;serif" w:hAnsi="Times New Roman;Times;serif"/>
          <w:i/>
          <w:sz w:val="20"/>
          <w:shd w:fill="FFFFFF" w:val="clear"/>
        </w:rPr>
        <w:t>, </w:t>
      </w:r>
      <w:r>
        <w:rPr>
          <w:rFonts w:ascii="Times New Roman;Times;serif" w:hAnsi="Times New Roman;Times;serif"/>
          <w:b/>
          <w:i/>
          <w:sz w:val="20"/>
          <w:shd w:fill="FFFFFF" w:val="clear"/>
        </w:rPr>
        <w:t>directly or indirectly</w:t>
      </w:r>
      <w:r>
        <w:rPr>
          <w:rFonts w:ascii="Times New Roman;Times;serif" w:hAnsi="Times New Roman;Times;serif"/>
          <w:i/>
          <w:sz w:val="20"/>
          <w:shd w:fill="FFFFFF" w:val="clear"/>
        </w:rPr>
        <w:t>, </w:t>
      </w:r>
      <w:r>
        <w:rPr>
          <w:rFonts w:ascii="Times New Roman;Times;serif" w:hAnsi="Times New Roman;Times;serif"/>
          <w:b/>
          <w:i/>
          <w:sz w:val="20"/>
          <w:shd w:fill="FFFFFF" w:val="clear"/>
        </w:rPr>
        <w:t>to federal and state healthcare fraud and abuse laws</w:t>
      </w:r>
      <w:r>
        <w:rPr>
          <w:rFonts w:ascii="Times New Roman;Times;serif" w:hAnsi="Times New Roman;Times;serif"/>
          <w:i/>
          <w:sz w:val="20"/>
          <w:shd w:fill="FFFFFF" w:val="clear"/>
        </w:rPr>
        <w:t>, </w:t>
      </w:r>
      <w:r>
        <w:rPr>
          <w:rFonts w:ascii="Times New Roman;Times;serif" w:hAnsi="Times New Roman;Times;serif"/>
          <w:b/>
          <w:i/>
          <w:sz w:val="20"/>
          <w:shd w:fill="FFFFFF" w:val="clear"/>
        </w:rPr>
        <w:t>false claims laws health information privacy and security laws</w:t>
      </w:r>
      <w:r>
        <w:rPr>
          <w:rFonts w:ascii="Times New Roman;Times;serif" w:hAnsi="Times New Roman;Times;serif"/>
          <w:i/>
          <w:sz w:val="20"/>
          <w:shd w:fill="FFFFFF" w:val="clear"/>
        </w:rPr>
        <w:t>, </w:t>
      </w:r>
      <w:r>
        <w:rPr>
          <w:rFonts w:ascii="Times New Roman;Times;serif" w:hAnsi="Times New Roman;Times;serif"/>
          <w:b/>
          <w:i/>
          <w:sz w:val="20"/>
          <w:shd w:fill="FFFFFF" w:val="clear"/>
        </w:rPr>
        <w:t>and other health care laws and regulations</w:t>
      </w:r>
      <w:r>
        <w:rPr>
          <w:rFonts w:ascii="Times New Roman;Times;serif" w:hAnsi="Times New Roman;Times;serif"/>
          <w:i/>
          <w:sz w:val="20"/>
          <w:shd w:fill="FFFFFF" w:val="clear"/>
        </w:rPr>
        <w:t xml:space="preserve">. </w:t>
      </w:r>
      <w:r>
        <w:rPr>
          <w:rFonts w:ascii="Times New Roman;Times;serif" w:hAnsi="Times New Roman;Times;serif"/>
          <w:b/>
          <w:i/>
          <w:sz w:val="20"/>
          <w:shd w:fill="FFFFFF" w:val="clear"/>
        </w:rPr>
        <w:t>If we are unable to comply</w:t>
      </w:r>
      <w:r>
        <w:rPr>
          <w:rFonts w:ascii="Times New Roman;Times;serif" w:hAnsi="Times New Roman;Times;serif"/>
          <w:i/>
          <w:sz w:val="20"/>
          <w:shd w:fill="FFFFFF" w:val="clear"/>
        </w:rPr>
        <w:t>, </w:t>
      </w:r>
      <w:r>
        <w:rPr>
          <w:rFonts w:ascii="Times New Roman;Times;serif" w:hAnsi="Times New Roman;Times;serif"/>
          <w:b/>
          <w:i/>
          <w:sz w:val="20"/>
          <w:shd w:fill="FFFFFF" w:val="clear"/>
        </w:rPr>
        <w:t>or have not fully complied</w:t>
      </w:r>
      <w:r>
        <w:rPr>
          <w:rFonts w:ascii="Times New Roman;Times;serif" w:hAnsi="Times New Roman;Times;serif"/>
          <w:i/>
          <w:sz w:val="20"/>
          <w:shd w:fill="FFFFFF" w:val="clear"/>
        </w:rPr>
        <w:t>, </w:t>
      </w:r>
      <w:r>
        <w:rPr>
          <w:rFonts w:ascii="Times New Roman;Times;serif" w:hAnsi="Times New Roman;Times;serif"/>
          <w:b/>
          <w:i/>
          <w:sz w:val="20"/>
          <w:shd w:fill="FFFFFF" w:val="clear"/>
        </w:rPr>
        <w:t>with such laws</w:t>
      </w:r>
      <w:r>
        <w:rPr>
          <w:rFonts w:ascii="Times New Roman;Times;serif" w:hAnsi="Times New Roman;Times;serif"/>
          <w:i/>
          <w:sz w:val="20"/>
          <w:shd w:fill="FFFFFF" w:val="clear"/>
        </w:rPr>
        <w:t>, </w:t>
      </w:r>
      <w:r>
        <w:rPr>
          <w:rFonts w:ascii="Times New Roman;Times;serif" w:hAnsi="Times New Roman;Times;serif"/>
          <w:b/>
          <w:i/>
          <w:sz w:val="20"/>
          <w:shd w:fill="FFFFFF" w:val="clear"/>
        </w:rPr>
        <w:t>we could face substantial penalties</w:t>
      </w:r>
      <w:r>
        <w:rPr>
          <w:rFonts w:ascii="Times New Roman;Times;serif" w:hAnsi="Times New Roman;Times;serif"/>
          <w:i/>
          <w:sz w:val="20"/>
          <w:shd w:fill="FFFFFF" w:val="clea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If we obtain FDA approval for any of our product candidates and begin commercializing those products in the United States, our operations will be directly, or indirectly through our prescribers, customers and purchasers, subject to various U.S. federal and state fraud and abuse laws and regulations, including, without limitation, the federal Health Care Program Anti-Kickback Statute, or Anti-Kickback Statute, the federal civil and criminal False Claims Act and Physician Payments Sunshine Act and regulations. These laws will impact, among other things, our clinical research, proposed sales, marketing and educational programs and other interactions with healthcare professionals. In addition, we may be subject to patient privacy laws by both the federal government and the states in which we conduct our business. The laws that will affect our operations include, but are not limited to:</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Anti-Kickback Statute, which prohibits, among other things, persons or entities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arrangement, or recommendation of any good, facility, item or service for which payment may be made, in whole or in part, under a federal healthcare program, such as the Medicare and Medicaid programs. “Remuneration” has been interpreted broadly to include anything of value. A person or entity does not need to have actual knowledge of the Anti-Kickback Statute or specific intent to violate it to have committed a violation. In addition, the government may assert that a claim including items or services resulting from a violation of the Anti-Kickback Statute constitutes a false or fraudulent claim for purposes of the federal False Claims Act, or FCA, or federal civil money penalties. The Anti-Kickback Statute has been interpreted to apply to arrangements between pharmaceutical manufacturers on the one hand and prescribers, purchasers, and formulary managers on the other. Although there are a number of statutory exceptions and regulatory safe harbors protecting some common activities from prosecution, the exceptions and safe harbors are drawn narrowly. Practices that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its facts and circumstances;</w:t>
            </w:r>
          </w:p>
        </w:tc>
      </w:tr>
    </w:tbl>
    <w:p>
      <w:pPr>
        <w:pStyle w:val="TextBody"/>
        <w:bidi w:val="0"/>
        <w:spacing w:before="0" w:after="0"/>
        <w:ind w:left="360" w:right="0" w:hanging="0"/>
        <w:jc w:val="left"/>
        <w:rPr/>
      </w:pPr>
      <w:r>
        <w:rPr/>
        <w:t>​</w:t>
      </w:r>
    </w:p>
    <w:p>
      <w:pPr>
        <w:pStyle w:val="Normal"/>
        <w:bidi w:val="0"/>
        <w:spacing w:before="0" w:after="0"/>
        <w:jc w:val="left"/>
        <w:rPr>
          <w:sz w:val="4"/>
          <w:szCs w:val="4"/>
        </w:rPr>
      </w:pPr>
      <w:r>
        <w:rPr>
          <w:sz w:val="4"/>
          <w:szCs w:val="4"/>
        </w:rPr>
      </w:r>
      <w:bookmarkStart w:id="1009" w:name="_cp_text_1_39"/>
      <w:bookmarkStart w:id="1010" w:name="_cp_text_1_39"/>
      <w:bookmarkEnd w:id="1010"/>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federal civil and criminal false claims laws, including the FCA, and civil monetary penalty law, which impose criminal and civil penalties against individuals or entities for, among other things: knowingly presenting, or causing to be presented, to the federal government, claims for payment that are false or fraudulent; knowingly making, using or causing to be made or used, a false statement of record material to a false or fraudulent claim or obligation to pay or transmit money or property to the federal government.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w:t>
            </w:r>
          </w:p>
        </w:tc>
      </w:tr>
    </w:tbl>
    <w:p>
      <w:pPr>
        <w:pStyle w:val="TextBody"/>
        <w:bidi w:val="0"/>
        <w:spacing w:before="0" w:after="0"/>
        <w:ind w:left="36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beneficiary inducement provisions of the civil monetary penalty law,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supplier of items or services reimbursable by a federal or state governmental program;</w:t>
            </w:r>
          </w:p>
        </w:tc>
      </w:tr>
    </w:tbl>
    <w:p>
      <w:pPr>
        <w:pStyle w:val="TextBody"/>
        <w:bidi w:val="0"/>
        <w:spacing w:before="0" w:after="0"/>
        <w:ind w:left="36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federal Health Insurance Portability and Accountability Act of 1996, or HIPAA, which created new federal criminal statutes that prohibit a person from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statements or representations in connection with the delivery of, or payment for, healthcare benefits, items or services relating to healthcare matters; similar to the Anti-Kickback Statute, a person or entity does not need to have actual knowledge of the statute or specific intent to violate it in order to have committed a violation;</w:t>
            </w:r>
          </w:p>
        </w:tc>
      </w:tr>
    </w:tbl>
    <w:p>
      <w:pPr>
        <w:pStyle w:val="TextBody"/>
        <w:bidi w:val="0"/>
        <w:spacing w:before="0" w:after="0"/>
        <w:ind w:left="36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HIPAA, as amended by the Health Information Technology for Economic and Clinical Health Act of 2009, or HITECH, and their respective implementing regulations, which impose requirements on certain healthcare providers, health plans, and healthcare clearinghouses, known as covered entities, as well as their respective business associates, individuals and entities that perform services on their behalf that involve the use or disclosure of individually identifiable health information, and their subcontractors that use disclose or otherwise process individually identifiable health information, relating to the privacy, security and transmission of individually identifiable health information;</w:t>
            </w:r>
          </w:p>
        </w:tc>
      </w:tr>
    </w:tbl>
    <w:p>
      <w:pPr>
        <w:pStyle w:val="TextBody"/>
        <w:bidi w:val="0"/>
        <w:spacing w:before="0" w:after="0"/>
        <w:ind w:left="36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federal transparency requirements under the ACA, including the provision commonly referred to as the Physician Payments Sunshine Act, which requires applicable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other healthcare professionals (such as physician assistants and nurse practitioners), and teaching hospitals, as well as ownership and investment interests held by the physicians described above and their immediate family members;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federal government price reporting laws, which require us to calculate and report complex pricing metrics in an accurate and timely manner to government programs; and</w:t>
            </w:r>
          </w:p>
        </w:tc>
      </w:tr>
    </w:tbl>
    <w:p>
      <w:pPr>
        <w:pStyle w:val="TextBody"/>
        <w:bidi w:val="0"/>
        <w:spacing w:before="0" w:after="0"/>
        <w:ind w:left="36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federal consumer protection and unfair competition laws, which broadly regulate marketplace activities and activities that potentially harm consumers.</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Additionally, we are subject to U.S. state and foreign equivalents of each of the healthcare laws and regulations described above, among others, some of which may be broader in scope and may apply regardless of the payor. Many U.S. states have adopted laws similar to the Anti-Kickback Statute and FCA,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Certain states and local jurisdictions also require certain regulatory licenses to manufacture or distribute products commercially and/or the registration of pharmaceutical sales representatives. There are ambiguities as to what is required to comply with these state requirements, and if we fail to comply with an applicable state law requirement we could be subject to significant penalties. Finally, there are state and foreign laws governing the privacy and security of health information, many of which differ from each other in significant ways and often are not preempted by HIPAA, thus complicating compliance efforts. For further information concerning additional data privacy and security laws we may be subject to and our processing of personal data, see the risk factor titled “</w:t>
      </w:r>
      <w:r>
        <w:rPr>
          <w:rFonts w:ascii="Times New Roman;Times;serif" w:hAnsi="Times New Roman;Times;serif"/>
          <w:i/>
          <w:sz w:val="20"/>
        </w:rPr>
        <w:t>We and the third parties with whom we work are subject to stringent and evolving U.S. and foreign laws, regulations, rules, contractual obligations, policies and other obligations related to data privacy and security. Our (and the third parties with whom we work) actual or perceived failure to comply with such obligations could lead to regulatory investigations or actions, litigation, fines and penalties, disruptions of our business operations, reputational harm, loss of revenues or profits, and other adverse business consequences.</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Because of the breadth of these laws and the narrowness of the statutory exceptions and regulatory safe harbors available, it is possible that some of our business activities could be subject to challenge under one or more of such laws. Law enforcement authorities are increasingly focused on enforcing fraud and abuse laws, and it is possible that some of our practices may be challenged under these laws. Efforts to ensure that our current and future business arrangements with third parties, and our business generally, will comply with applicable healthcare laws and regulations will involve substantial costs. If our operations, including our arrangements with physicians and other healthcare providers are found to be in violation of any of such laws or any other governmental regulations that apply to us, we may be subject to penalties, including, without limitation, significant administrative, civil and criminal penalties, damages, fines, disgorgement, contractual damages, reputational harm, diminished profits and future earnings, the curtailment or restructuring of our operations, imprisonment, exclusion from participation in federal and state healthcare programs (such as Medicare and Medicaid), additional reporting requirements and/or oversight if we become subject to a corporate integrity agreement or similar agreement to resolve allegations of non-compliance with these laws, and imprisonment, any of which could adversely affect our ability to operate our business and our financial results. Any action for violation of these laws, even if successfully defended, could cause a pharmaceutical manufacturer to incur significant legal expenses and divert management’s attention from the operation of the business. Prohibitions or restrictions on sales or withdrawal of future marketed products could materially affect business in an adverse way.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Healthcare legislative reform measures may have a negative impact on our business and results of operations.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our ability to profitably sell any product candidates for which we obtain marketing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(iv) restriction on coverage, reimbursement, and pricing for our products, (v) transparency reporting obligations regarding transfers of value to health care professionals or (vi) additional record-keeping requirements. If any such changes were to be imposed, they could adversely affect our business, financial condition and results of operations.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Among policy makers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For example, the Patient Protection and Affordable Care Act, as amended by the Health Care and Education Reconciliation Act, or collectively, the ACA, which was signed into law in 2010, is a sweeping law intended to broaden access to health insurance, reduce or constrain the growth of health care spending, enhance remedies against fraud and abuse, add new transparency requirements for the health care and health insurance industries, impose new taxes and fees on the health industry and impose additional health policy reforms. </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There have been executive, judicial and Congressional challenges and amendments to certain aspects of ACA. For example, on July 4, 2025,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 Other legislative changes have been approved and adopted since the ACA was enacted, including aggregate reductions to Medicare payments to providers of 2% per fiscal year, which began in 2013, and will remain in effect through 2032 unless additional Congressional action is taken.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current administration is pursuing policies to reduce regulations and expenditures across government agencies including at HHS, the FDA,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direct-to-consumer platform, or TrumpRx, U.S. patients and Medicaid programs prescription drug Most-Favored-Nation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including by improving upon the Medicare Drug Price Negotiation Program and establishing Most-Favored-Nation pricing for pharmaceutical products; (3) imposing tariffs on certain imported pharmaceutical products; and (4) as part of the Make America Healthy Again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Most-Favored-Nation pricing, lower government subsidies to private insurance companies, increase healthcare price transparency, expand pharmaceutical drugs available for over-the-counter purchase, and enact restrictions on pharmacy benefit manager payment methodologies, among other things. These actions and policies may significantly reduce U.S. drug prices, potentially impacting manufacturers’ global pricing strategies and profitability, while increasing their operational costs and compliance risks. In addition, the U.S. Supreme Court recently greatly reduced judicial deference to regulatory agencies, which could increase successful legal challenges to federal regulations affecting our operations. Congress may introduce and ultimately pass healthcare-related legislation that could impact the drug approval process and make changes to the Medicare Drug Price Negotiation Program. Any reduction in reimbursement from Medicare or other government programs may result in a similar reduction in payments from private payors.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There have been, and likely will continue to be, healthcare reform measures, including legislative and regulatory proposals at the foreign, federal and state levels directed at broadening the availability of healthcare and containing or lowering the cost of healthcare. The implementation of healthcare reform and other cost containment measures or other healthcare reforms may prevent us from being able to generate revenue, attain profitability, or commercialize our products. Such reforms could have an adverse effect on anticipated revenue from product candidates that we may successfully develop and for which we may obtain regulatory approval and may affect our overall financial condition and ability to develop product candidates</w:t>
      </w:r>
      <w:r>
        <w:rPr>
          <w:rFonts w:ascii="Times New Roman;Times;serif" w:hAnsi="Times New Roman;Times;serif"/>
          <w:sz w:val="20"/>
          <w:shd w:fill="FFFFFF" w:val="clear"/>
        </w:rPr>
        <w:t>.</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We are subject to the U</w:t>
      </w:r>
      <w:r>
        <w:rPr>
          <w:rFonts w:ascii="Times New Roman;Times;serif" w:hAnsi="Times New Roman;Times;serif"/>
          <w:i/>
          <w:sz w:val="20"/>
        </w:rPr>
        <w:t>.</w:t>
      </w:r>
      <w:r>
        <w:rPr>
          <w:rFonts w:ascii="Times New Roman;Times;serif" w:hAnsi="Times New Roman;Times;serif"/>
          <w:b/>
          <w:i/>
          <w:sz w:val="20"/>
        </w:rPr>
        <w:t>K</w:t>
      </w:r>
      <w:r>
        <w:rPr>
          <w:rFonts w:ascii="Times New Roman;Times;serif" w:hAnsi="Times New Roman;Times;serif"/>
          <w:i/>
          <w:sz w:val="20"/>
        </w:rPr>
        <w:t xml:space="preserve">. </w:t>
      </w:r>
      <w:r>
        <w:rPr>
          <w:rFonts w:ascii="Times New Roman;Times;serif" w:hAnsi="Times New Roman;Times;serif"/>
          <w:b/>
          <w:i/>
          <w:sz w:val="20"/>
        </w:rPr>
        <w:t>Bribery Act 2010</w:t>
      </w:r>
      <w:r>
        <w:rPr>
          <w:rFonts w:ascii="Times New Roman;Times;serif" w:hAnsi="Times New Roman;Times;serif"/>
          <w:i/>
          <w:sz w:val="20"/>
        </w:rPr>
        <w:t xml:space="preserve">, </w:t>
      </w:r>
      <w:r>
        <w:rPr>
          <w:rFonts w:ascii="Times New Roman;Times;serif" w:hAnsi="Times New Roman;Times;serif"/>
          <w:b/>
          <w:i/>
          <w:sz w:val="20"/>
        </w:rPr>
        <w:t>or the Bribery Act</w:t>
      </w:r>
      <w:r>
        <w:rPr>
          <w:rFonts w:ascii="Times New Roman;Times;serif" w:hAnsi="Times New Roman;Times;serif"/>
          <w:i/>
          <w:sz w:val="20"/>
        </w:rPr>
        <w:t xml:space="preserve">, </w:t>
      </w:r>
      <w:r>
        <w:rPr>
          <w:rFonts w:ascii="Times New Roman;Times;serif" w:hAnsi="Times New Roman;Times;serif"/>
          <w:b/>
          <w:i/>
          <w:sz w:val="20"/>
        </w:rPr>
        <w:t>the U</w:t>
      </w:r>
      <w:r>
        <w:rPr>
          <w:rFonts w:ascii="Times New Roman;Times;serif" w:hAnsi="Times New Roman;Times;serif"/>
          <w:i/>
          <w:sz w:val="20"/>
        </w:rPr>
        <w:t>.</w:t>
      </w:r>
      <w:r>
        <w:rPr>
          <w:rFonts w:ascii="Times New Roman;Times;serif" w:hAnsi="Times New Roman;Times;serif"/>
          <w:b/>
          <w:i/>
          <w:sz w:val="20"/>
        </w:rPr>
        <w:t>S</w:t>
      </w:r>
      <w:r>
        <w:rPr>
          <w:rFonts w:ascii="Times New Roman;Times;serif" w:hAnsi="Times New Roman;Times;serif"/>
          <w:i/>
          <w:sz w:val="20"/>
        </w:rPr>
        <w:t xml:space="preserve">. </w:t>
      </w:r>
      <w:r>
        <w:rPr>
          <w:rFonts w:ascii="Times New Roman;Times;serif" w:hAnsi="Times New Roman;Times;serif"/>
          <w:b/>
          <w:i/>
          <w:sz w:val="20"/>
        </w:rPr>
        <w:t>Foreign Corrupt Practices Act of 1977</w:t>
      </w:r>
      <w:r>
        <w:rPr>
          <w:rFonts w:ascii="Times New Roman;Times;serif" w:hAnsi="Times New Roman;Times;serif"/>
          <w:i/>
          <w:sz w:val="20"/>
        </w:rPr>
        <w:t xml:space="preserve">, </w:t>
      </w:r>
      <w:r>
        <w:rPr>
          <w:rFonts w:ascii="Times New Roman;Times;serif" w:hAnsi="Times New Roman;Times;serif"/>
          <w:b/>
          <w:i/>
          <w:sz w:val="20"/>
        </w:rPr>
        <w:t>as amended</w:t>
      </w:r>
      <w:r>
        <w:rPr>
          <w:rFonts w:ascii="Times New Roman;Times;serif" w:hAnsi="Times New Roman;Times;serif"/>
          <w:i/>
          <w:sz w:val="20"/>
        </w:rPr>
        <w:t xml:space="preserve">, </w:t>
      </w:r>
      <w:r>
        <w:rPr>
          <w:rFonts w:ascii="Times New Roman;Times;serif" w:hAnsi="Times New Roman;Times;serif"/>
          <w:b/>
          <w:i/>
          <w:sz w:val="20"/>
        </w:rPr>
        <w:t>or the FCPA</w:t>
      </w:r>
      <w:r>
        <w:rPr>
          <w:rFonts w:ascii="Times New Roman;Times;serif" w:hAnsi="Times New Roman;Times;serif"/>
          <w:i/>
          <w:sz w:val="20"/>
        </w:rPr>
        <w:t xml:space="preserve">, </w:t>
      </w:r>
      <w:r>
        <w:rPr>
          <w:rFonts w:ascii="Times New Roman;Times;serif" w:hAnsi="Times New Roman;Times;serif"/>
          <w:b/>
          <w:i/>
          <w:sz w:val="20"/>
        </w:rPr>
        <w:t>and other anti-corruption laws</w:t>
      </w:r>
      <w:r>
        <w:rPr>
          <w:rFonts w:ascii="Times New Roman;Times;serif" w:hAnsi="Times New Roman;Times;serif"/>
          <w:i/>
          <w:sz w:val="20"/>
        </w:rPr>
        <w:t xml:space="preserve">, </w:t>
      </w:r>
      <w:r>
        <w:rPr>
          <w:rFonts w:ascii="Times New Roman;Times;serif" w:hAnsi="Times New Roman;Times;serif"/>
          <w:b/>
          <w:i/>
          <w:sz w:val="20"/>
        </w:rPr>
        <w:t>as well as export control laws</w:t>
      </w:r>
      <w:r>
        <w:rPr>
          <w:rFonts w:ascii="Times New Roman;Times;serif" w:hAnsi="Times New Roman;Times;serif"/>
          <w:i/>
          <w:sz w:val="20"/>
        </w:rPr>
        <w:t xml:space="preserve">, </w:t>
      </w:r>
      <w:r>
        <w:rPr>
          <w:rFonts w:ascii="Times New Roman;Times;serif" w:hAnsi="Times New Roman;Times;serif"/>
          <w:b/>
          <w:i/>
          <w:sz w:val="20"/>
        </w:rPr>
        <w:t>import and customs laws</w:t>
      </w:r>
      <w:r>
        <w:rPr>
          <w:rFonts w:ascii="Times New Roman;Times;serif" w:hAnsi="Times New Roman;Times;serif"/>
          <w:i/>
          <w:sz w:val="20"/>
        </w:rPr>
        <w:t xml:space="preserve">, </w:t>
      </w:r>
      <w:r>
        <w:rPr>
          <w:rFonts w:ascii="Times New Roman;Times;serif" w:hAnsi="Times New Roman;Times;serif"/>
          <w:b/>
          <w:i/>
          <w:sz w:val="20"/>
        </w:rPr>
        <w:t>trade and economic sanctions laws and other laws governing our operations</w:t>
      </w:r>
      <w:r>
        <w:rPr>
          <w:rFonts w:ascii="Times New Roman;Times;serif" w:hAnsi="Times New Roman;Times;serif"/>
          <w:i/>
          <w:sz w:val="20"/>
          <w:shd w:fill="FFFFFF" w:val="clear"/>
        </w:rPr>
        <w: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operations are subject to anti-corruption laws, including the Bribery Act, the FCPA, the U.S. domestic bribery statute contained in 18 U.S.C. §201, the U.S. Travel Act, and other anti-corruption laws that apply in countries where we do business. The Bribery Act, the FCPA and these other laws generally prohibit us, our employees and our intermediaries from authorizing, promising, offering, or providing, directly or indirectly, improper or prohibited payments, or anything else of value, to government officials or other persons to obtain or retain business or gain some other business advantage. Under the Bribery Act, we may also be liable for failing to prevent a person associated with us from committing a bribery offense. We and our commercial partners operate in a number of jurisdictions that pose a high risk of potential Bribery Act or FCPA violations, and we participate in collaborations and relationships with third parties whose corrupt or illegal activities could potentially subject us to liability under the Bribery Act, FCPA or local anti-corruption laws, even if we do not explicitly authorize or have actual knowledge of such activities. In addition, we cannot predict the nature, scope or effect of future regulatory requirements to which our international operations might be subject or the manner in which existing laws might be administered or interpreted.</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are also subject to other laws and regulations governing our international operations, including regulations administered by the governments of the United Kingdom and the United States, and authorities in the European Union, including applicable export control regulations, economic sanctions and embargoes on certain countries and persons, anti-money laundering laws, import and customs requirements and currency exchange regulations, collectively referred to as the Trade Control laws.</w:t>
      </w:r>
    </w:p>
    <w:p>
      <w:pPr>
        <w:pStyle w:val="TextBody"/>
        <w:bidi w:val="0"/>
        <w:spacing w:before="0" w:after="0"/>
        <w:ind w:left="0" w:right="0" w:hanging="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Likewise, any investigation of any potential violations of the Bribery Act, the FCPA, other anti-corruption laws or Trade Control laws by the United Kingdom, United States or other authorities could also have an adverse impact on our reputation, our business, results of operations and financial condition.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and the third parties with whom we work are subject to stringent and evolving U.S. and foreign laws, regulations, rules, contractual obligations, industry standards, policies and other obligations related to data privacy and security. Our (and third parties with whom we work) actual or perceived failure to comply with such obligations could lead to regulatory investigations or actions, litigation (including class claims), fines and penalties, disruptions of our business operations, reputational harm, loss of revenue or profits, and other adverse business consequences.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the ordinary course of business, we collect, receive, store, process, generate, use, transfer, disclose, make accessible, protect, secure, dispose of, transmit, and share (collectively, process) personal data and other sensitive or confidential information, including proprietary and confidential business data, trade secrets, intellectual property, data we collect about trial participants in connection with clinical trials, and sensitive third-party data (collectively, sensitive information). Our data processing activities may subject us to numerous data privacy and security obligations, such as various laws, regulations, guidance, industry standards, external and internal privacy and security policies, contractual requirements, and other obligations relating to data privacy and security.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HIPAA, as amended by HITECH, imposes specific requirements relating to the privacy, security, and transmission of individually identifiable health information. 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To the extent applicable,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as amended by the California Privacy Rights Act of 2020, referred to collectively as CCPA, applies to personal data of consumers, business representatives, and employees who are California residents, and requires businesses to provide specific disclosures in privacy notices and honor requests of such individuals to exercise certain privacy rights. The CCPA allows for fines for noncompliance and allows private litigants affected by certain data breaches to recover significant statutory damages. Although the CCPA and other comprehensive U.S. state privacy laws exempt some data processed in the context of clinical trials, these developments may further complicate compliance efforts, and increase compliance costs and potential liability for us and the third parties with whom we work. Similar laws are being considered in several other states, as well as at the federal and local levels, and we expect more states to pass similar laws in the future.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Outside of the United States, an increasing number of laws, regulations, and industry standards may govern data privacy and security. For example, the European Union’s General Data Protection Regulation, or EU GDPR, and the United Kingdom’s GDPR, or U.K. GDPR, impose strict requirements for processing personal data. For example, under the EU GDPR, companies may face temporary or definitive bans on data processing and other corrective actions; fines of up to 20 million Euros or 4% of annual global revenue, whichever is greater; or private litigation related to processing of personal data brought by classes of data subjects or consumer protection organizations authorized at law to represent their interests.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may be subject to new laws governing the privacy of consumer health data, including reproductive, sexual orientation, and gender identity privacy rights. For example, Washington’s My Health My Data Act, or MHMD, broadly defines consumer health data, places restrictions on processing consumer health data (including imposing stringent requirements for consents), provides consumers certain rights with respect to their health data, and creates a private right of action to allow individuals to sue for violations of the law. Other states have passed, are considering, and may adopt similar laws.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employees and personnel use generative artificial intelligence, or AI, technologies to perform their work, and the disclosure and use of personal data in generative AI technologies is subject to various privacy laws and other privacy obligations. Governments have passed and are likely to pass additional laws and regulations regulating generative AI. Our use of this technology could result in additional compliance costs, regulatory investigations and actions, and lawsuits. If we are unable to use generative AI, it could make our business less efficient and result in competitive disadvantages.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the ordinary course of business, we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 or the EEA, and the U.K., have significantly restricted the transfer of personal data to the United States and other countries whose privacy laws it generally believes are inadequate. Other jurisdictions may adopt similarly stringent interpretations of their data localization and cross-border transfer laws. Although there are currently various mechanisms that may be used to transfer personal data from the EEA and U.K. to the United States in compliance with law, such as the European Commission’s Standard Contractual Clauses, the U.K. International Data Transfer Agreement and the U.K. Transfer Addendum, the EU-U.S. Data Privacy Framework and the U.K.’s Extension to that Framework (which allows for transfers for relevant U.S.-based organizations who self-certify compliance and participate in the relevant Framework and/or Extension), these mechanisms are subject to potential legal challenges, and there is no assurance that we can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satisfy or rely on these measures to lawfully transfer personal data to the United States. If there is no lawful manner for us to transfer personal data from the EEA,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Additionally, 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Iran) and covered persons (i.e., individuals and entities who are designated as such by the U.S. Attorney General or considered “foreign persons” and are majority-owned by, organized under the laws of, a primary resident in, or a contractor of, a covered person or country of concern, as applicable) that may impact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engage in transactions or agreements with certain third parties in the future.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addition to data privacy and security laws, we are also bound by other contractual and industry obligations related to data privacy and security, and our efforts to comply with such obligations may not be successful.</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publish privacy policies, marketing materials, whitepapers, and other statements concerning data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Obligations related to data privacy and security are quickly changing, becoming increasingly stringent, and creating regulatory uncertainty. Additionally, these obligations may be subject to differing applications and interpretations, which may be inconsistent or conflicting among jurisdictions. Preparing for and complying with these obligations requires us to devote significant resources and may necessitate changes to our services, information technologies, systems, and practices and to those of any third parties with whom we work.</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may at times fail (or be perceived to have failed) in our efforts to comply with our data privacy and security obligations. Moreover, despite our efforts, our personnel or third parties with whom we work may fail to comply with such obligations, which could negatively impact our business operations. Such failures can subject us to potential foreign, local, state and federal action if they are found to be deceptive, unfair, misleading or misrepresentative of our actual practices, which could negatively impact our business operations and compliance posture. If we or the third parties with whom we work fail, or are perceived to have failed, to address or comply with applicable data privacy or security obligations, we could face significant consequences, including but not limited to: government enforcement actions (e.g., investigations, fines, penalties, audits, inspections, and similar); litigation (including class-action claims); additional reporting requirements and/or oversight; bans on processing personal data; and orders to destroy or not use personal data. Any of these events could have a material adverse effect on our reputation, business, or financial condition, including but not limited to: loss of customers; interruptions or stoppages in our business operations (including, as relevant, clinical trials); inability to process personal data or operate in certain jurisdictions; limited ability to develop or commercialize our products; expenditure of time and resources to defend any claim or inquiry; adverse publicity; or substantial changes to our business model or operations.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Our activities subject us to various laws relating to foreign investment and the export of certain technologies</w:t>
      </w:r>
      <w:r>
        <w:rPr>
          <w:rFonts w:ascii="Times New Roman;Times;serif" w:hAnsi="Times New Roman;Times;serif"/>
          <w:i/>
          <w:sz w:val="20"/>
        </w:rPr>
        <w:t xml:space="preserve">, </w:t>
      </w:r>
      <w:r>
        <w:rPr>
          <w:rFonts w:ascii="Times New Roman;Times;serif" w:hAnsi="Times New Roman;Times;serif"/>
          <w:b/>
          <w:i/>
          <w:sz w:val="20"/>
        </w:rPr>
        <w:t>and our failure to comply with these laws or adequately monitor the compliance of our suppliers and others we do business with could subject us to substantial fines</w:t>
      </w:r>
      <w:r>
        <w:rPr>
          <w:rFonts w:ascii="Times New Roman;Times;serif" w:hAnsi="Times New Roman;Times;serif"/>
          <w:i/>
          <w:sz w:val="20"/>
        </w:rPr>
        <w:t xml:space="preserve">, </w:t>
      </w:r>
      <w:r>
        <w:rPr>
          <w:rFonts w:ascii="Times New Roman;Times;serif" w:hAnsi="Times New Roman;Times;serif"/>
          <w:b/>
          <w:i/>
          <w:sz w:val="20"/>
        </w:rPr>
        <w:t>penalties and even injunctions</w:t>
      </w:r>
      <w:r>
        <w:rPr>
          <w:rFonts w:ascii="Times New Roman;Times;serif" w:hAnsi="Times New Roman;Times;serif"/>
          <w:i/>
          <w:sz w:val="20"/>
        </w:rPr>
        <w:t xml:space="preserve">, </w:t>
      </w:r>
      <w:r>
        <w:rPr>
          <w:rFonts w:ascii="Times New Roman;Times;serif" w:hAnsi="Times New Roman;Times;serif"/>
          <w:b/>
          <w:i/>
          <w:sz w:val="20"/>
        </w:rPr>
        <w:t>the imposition of which on us could have a material adverse effect on the success of our business</w:t>
      </w:r>
      <w:r>
        <w:rPr>
          <w:rFonts w:ascii="Times New Roman;Times;serif" w:hAnsi="Times New Roman;Times;serif"/>
          <w:i/>
          <w:sz w:val="20"/>
        </w:rPr>
        <w: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are subject to laws that regulate certain transactions and access to technology. In the United States, these laws include section 721 of the Defense Production Act of 1950, as amended by the Foreign Investment Risk Review Modernization Act of 2018, and the regulations at 31 C.F.R. Parts 800 and 801, as amended, administered by the Committee on Foreign Investment in the United States; and the Export Control Reform Act of 2018, which is being implemented in part through Commerce Department rulemakings to impose new export control restrictions on “emerging and foundational technologies” yet to be fully identified. Application of these laws, including as they are implemented through regulations being developed, may negatively impact our business in various ways, including by restricting our access to capital and markets; limiting the collaborations we may pursue; regulating the export of our products, services, and technology from the United States and abroad; increasing our costs and the time necessary to obtain required authorizations and to ensure compliance; and threatening monetary fines and other penalties if we do not.</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shd w:fill="FFFFFF" w:val="clear"/>
        </w:rPr>
        <w:t>If we fail to comply with environmental</w:t>
      </w:r>
      <w:r>
        <w:rPr>
          <w:rFonts w:ascii="Times New Roman;Times;serif" w:hAnsi="Times New Roman;Times;serif"/>
          <w:i/>
          <w:sz w:val="20"/>
          <w:shd w:fill="FFFFFF" w:val="clear"/>
        </w:rPr>
        <w:t>, </w:t>
      </w:r>
      <w:r>
        <w:rPr>
          <w:rFonts w:ascii="Times New Roman;Times;serif" w:hAnsi="Times New Roman;Times;serif"/>
          <w:b/>
          <w:i/>
          <w:sz w:val="20"/>
          <w:shd w:fill="FFFFFF" w:val="clear"/>
        </w:rPr>
        <w:t>health and safety laws and regulations</w:t>
      </w:r>
      <w:r>
        <w:rPr>
          <w:rFonts w:ascii="Times New Roman;Times;serif" w:hAnsi="Times New Roman;Times;serif"/>
          <w:i/>
          <w:sz w:val="20"/>
          <w:shd w:fill="FFFFFF" w:val="clear"/>
        </w:rPr>
        <w:t>, </w:t>
      </w:r>
      <w:r>
        <w:rPr>
          <w:rFonts w:ascii="Times New Roman;Times;serif" w:hAnsi="Times New Roman;Times;serif"/>
          <w:b/>
          <w:i/>
          <w:sz w:val="20"/>
          <w:shd w:fill="FFFFFF" w:val="clear"/>
        </w:rPr>
        <w:t>we could become subject to fines or penalties or incur costs that could have a material adverse effect on the success of our business</w:t>
      </w:r>
      <w:r>
        <w:rPr>
          <w:rFonts w:ascii="Times New Roman;Times;serif" w:hAnsi="Times New Roman;Times;serif"/>
          <w:i/>
          <w:sz w:val="20"/>
          <w:shd w:fill="FFFFFF" w:val="clear"/>
        </w:rPr>
        <w: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pStyle w:val="TextBody"/>
        <w:bidi w:val="0"/>
        <w:spacing w:before="0" w:after="0"/>
        <w:ind w:left="0" w:right="0" w:hanging="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pStyle w:val="TextBody"/>
        <w:shd w:fill="FFFFFF" w:val="clear"/>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Risks Related to Our Business and Our International Operations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As a company with operations outside of the United States</w:t>
      </w:r>
      <w:r>
        <w:rPr>
          <w:rFonts w:ascii="Times New Roman;Times;serif" w:hAnsi="Times New Roman;Times;serif"/>
          <w:i/>
          <w:sz w:val="20"/>
        </w:rPr>
        <w:t xml:space="preserve">, </w:t>
      </w:r>
      <w:r>
        <w:rPr>
          <w:rFonts w:ascii="Times New Roman;Times;serif" w:hAnsi="Times New Roman;Times;serif"/>
          <w:b/>
          <w:i/>
          <w:sz w:val="20"/>
        </w:rPr>
        <w:t>we are subject to economic</w:t>
      </w:r>
      <w:r>
        <w:rPr>
          <w:rFonts w:ascii="Times New Roman;Times;serif" w:hAnsi="Times New Roman;Times;serif"/>
          <w:i/>
          <w:sz w:val="20"/>
        </w:rPr>
        <w:t xml:space="preserve">, </w:t>
      </w:r>
      <w:r>
        <w:rPr>
          <w:rFonts w:ascii="Times New Roman;Times;serif" w:hAnsi="Times New Roman;Times;serif"/>
          <w:b/>
          <w:i/>
          <w:sz w:val="20"/>
        </w:rPr>
        <w:t>political</w:t>
      </w:r>
      <w:r>
        <w:rPr>
          <w:rFonts w:ascii="Times New Roman;Times;serif" w:hAnsi="Times New Roman;Times;serif"/>
          <w:i/>
          <w:sz w:val="20"/>
        </w:rPr>
        <w:t xml:space="preserve">, </w:t>
      </w:r>
      <w:r>
        <w:rPr>
          <w:rFonts w:ascii="Times New Roman;Times;serif" w:hAnsi="Times New Roman;Times;serif"/>
          <w:b/>
          <w:i/>
          <w:sz w:val="20"/>
        </w:rPr>
        <w:t>regulatory and other risks associated with international operations</w:t>
      </w:r>
      <w:r>
        <w:rPr>
          <w:rFonts w:ascii="Times New Roman;Times;serif" w:hAnsi="Times New Roman;Times;serif"/>
          <w:i/>
          <w:sz w:val="20"/>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As a company with operations in the U.K., our business is subject to risks associated with conducting business outside of the United States. Many of our suppliers and clinical trial relationships are located outside the United States. Accordingly, our future results could be harmed by a variety of factors, including:</w:t>
      </w:r>
    </w:p>
    <w:p>
      <w:pPr>
        <w:pStyle w:val="TextBody"/>
        <w:bidi w:val="0"/>
        <w:spacing w:before="0" w:after="0"/>
        <w:ind w:left="0" w:right="0" w:hanging="0"/>
        <w:jc w:val="left"/>
        <w:rPr/>
      </w:pPr>
      <w:r>
        <w:rPr/>
        <w:t>​</w:t>
      </w:r>
    </w:p>
    <w:tbl>
      <w:tblPr>
        <w:tblW w:w="9426" w:type="dxa"/>
        <w:jc w:val="left"/>
        <w:tblInd w:w="0" w:type="dxa"/>
        <w:tblLayout w:type="fixed"/>
        <w:tblCellMar>
          <w:top w:w="28" w:type="dxa"/>
          <w:left w:w="28" w:type="dxa"/>
          <w:bottom w:w="28" w:type="dxa"/>
          <w:right w:w="28" w:type="dxa"/>
        </w:tblCellMar>
      </w:tblPr>
      <w:tblGrid>
        <w:gridCol w:w="124"/>
        <w:gridCol w:w="256"/>
        <w:gridCol w:w="90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economic weakness, including inflation, or political instability in particular non-U.S. economies and markets;</w:t>
            </w:r>
          </w:p>
        </w:tc>
      </w:tr>
    </w:tbl>
    <w:p>
      <w:pPr>
        <w:pStyle w:val="TextBody"/>
        <w:bidi w:val="0"/>
        <w:spacing w:before="0" w:after="0"/>
        <w:ind w:left="360" w:right="0" w:hanging="0"/>
        <w:jc w:val="left"/>
        <w:rPr/>
      </w:pPr>
      <w:r>
        <w:rPr/>
        <w:t>​</w:t>
      </w:r>
    </w:p>
    <w:tbl>
      <w:tblPr>
        <w:tblW w:w="6216" w:type="dxa"/>
        <w:jc w:val="left"/>
        <w:tblInd w:w="0" w:type="dxa"/>
        <w:tblLayout w:type="fixed"/>
        <w:tblCellMar>
          <w:top w:w="28" w:type="dxa"/>
          <w:left w:w="28" w:type="dxa"/>
          <w:bottom w:w="28" w:type="dxa"/>
          <w:right w:w="28" w:type="dxa"/>
        </w:tblCellMar>
      </w:tblPr>
      <w:tblGrid>
        <w:gridCol w:w="124"/>
        <w:gridCol w:w="256"/>
        <w:gridCol w:w="58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differing and changing regulatory requirements for product approvals;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differing jurisdictions could present different issues for securing, maintaining or obtaining freedom to operate in such jurisdictions;</w:t>
            </w:r>
          </w:p>
        </w:tc>
      </w:tr>
    </w:tbl>
    <w:p>
      <w:pPr>
        <w:pStyle w:val="TextBody"/>
        <w:bidi w:val="0"/>
        <w:spacing w:before="0" w:after="0"/>
        <w:ind w:left="360" w:right="0" w:hanging="0"/>
        <w:jc w:val="left"/>
        <w:rPr/>
      </w:pPr>
      <w:r>
        <w:rPr/>
        <w:t>​</w:t>
      </w:r>
    </w:p>
    <w:tbl>
      <w:tblPr>
        <w:tblW w:w="5556" w:type="dxa"/>
        <w:jc w:val="left"/>
        <w:tblInd w:w="0" w:type="dxa"/>
        <w:tblLayout w:type="fixed"/>
        <w:tblCellMar>
          <w:top w:w="28" w:type="dxa"/>
          <w:left w:w="28" w:type="dxa"/>
          <w:bottom w:w="28" w:type="dxa"/>
          <w:right w:w="28" w:type="dxa"/>
        </w:tblCellMar>
      </w:tblPr>
      <w:tblGrid>
        <w:gridCol w:w="124"/>
        <w:gridCol w:w="256"/>
        <w:gridCol w:w="51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potentially reduced protection for intellectual property rights;</w:t>
            </w:r>
          </w:p>
        </w:tc>
      </w:tr>
    </w:tbl>
    <w:p>
      <w:pPr>
        <w:pStyle w:val="TextBody"/>
        <w:bidi w:val="0"/>
        <w:spacing w:before="0" w:after="0"/>
        <w:ind w:left="36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 compliance with different, complex and changing laws, regulations and court systems of multiple jurisdictions and compliance with a wide variety of foreign laws, treaties and regulations, including, without limitation, restrictive regulations such as the EU GDPR and U.K. GDPR governing the use, processing, and cross-border transfer of personal data;</w:t>
            </w:r>
          </w:p>
        </w:tc>
      </w:tr>
    </w:tbl>
    <w:p>
      <w:pPr>
        <w:pStyle w:val="TextBody"/>
        <w:bidi w:val="0"/>
        <w:spacing w:before="0" w:after="0"/>
        <w:ind w:left="360" w:right="0" w:hanging="0"/>
        <w:jc w:val="left"/>
        <w:rPr/>
      </w:pPr>
      <w:r>
        <w:rPr/>
        <w:t>​</w:t>
      </w:r>
    </w:p>
    <w:tbl>
      <w:tblPr>
        <w:tblW w:w="6036" w:type="dxa"/>
        <w:jc w:val="left"/>
        <w:tblInd w:w="0" w:type="dxa"/>
        <w:tblLayout w:type="fixed"/>
        <w:tblCellMar>
          <w:top w:w="28" w:type="dxa"/>
          <w:left w:w="28" w:type="dxa"/>
          <w:bottom w:w="28" w:type="dxa"/>
          <w:right w:w="28" w:type="dxa"/>
        </w:tblCellMar>
      </w:tblPr>
      <w:tblGrid>
        <w:gridCol w:w="124"/>
        <w:gridCol w:w="256"/>
        <w:gridCol w:w="56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global regulations and customs, tariffs and trade barriers;</w:t>
            </w:r>
          </w:p>
        </w:tc>
      </w:tr>
    </w:tbl>
    <w:p>
      <w:pPr>
        <w:pStyle w:val="TextBody"/>
        <w:bidi w:val="0"/>
        <w:spacing w:before="0" w:after="0"/>
        <w:ind w:left="360" w:right="0" w:hanging="0"/>
        <w:jc w:val="left"/>
        <w:rPr/>
      </w:pPr>
      <w:r>
        <w:rPr/>
        <w:t>​</w:t>
      </w:r>
    </w:p>
    <w:tbl>
      <w:tblPr>
        <w:tblW w:w="9141" w:type="dxa"/>
        <w:jc w:val="left"/>
        <w:tblInd w:w="0" w:type="dxa"/>
        <w:tblLayout w:type="fixed"/>
        <w:tblCellMar>
          <w:top w:w="28" w:type="dxa"/>
          <w:left w:w="28" w:type="dxa"/>
          <w:bottom w:w="28" w:type="dxa"/>
          <w:right w:w="28" w:type="dxa"/>
        </w:tblCellMar>
      </w:tblPr>
      <w:tblGrid>
        <w:gridCol w:w="124"/>
        <w:gridCol w:w="256"/>
        <w:gridCol w:w="87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non-U.S. currency exchange rates of the pound sterling, U.S. dollar, euro and currency controls;</w:t>
            </w:r>
          </w:p>
        </w:tc>
      </w:tr>
    </w:tbl>
    <w:p>
      <w:pPr>
        <w:pStyle w:val="TextBody"/>
        <w:bidi w:val="0"/>
        <w:spacing w:before="0" w:after="0"/>
        <w:ind w:left="360" w:right="0" w:hanging="0"/>
        <w:jc w:val="left"/>
        <w:rPr/>
      </w:pPr>
      <w:r>
        <w:rPr/>
        <w:t>​</w:t>
      </w:r>
    </w:p>
    <w:tbl>
      <w:tblPr>
        <w:tblW w:w="6861" w:type="dxa"/>
        <w:jc w:val="left"/>
        <w:tblInd w:w="0" w:type="dxa"/>
        <w:tblLayout w:type="fixed"/>
        <w:tblCellMar>
          <w:top w:w="28" w:type="dxa"/>
          <w:left w:w="28" w:type="dxa"/>
          <w:bottom w:w="28" w:type="dxa"/>
          <w:right w:w="28" w:type="dxa"/>
        </w:tblCellMar>
      </w:tblPr>
      <w:tblGrid>
        <w:gridCol w:w="124"/>
        <w:gridCol w:w="256"/>
        <w:gridCol w:w="6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 specific country’s or region’s political or economic environment;</w:t>
            </w:r>
          </w:p>
        </w:tc>
      </w:tr>
    </w:tbl>
    <w:p>
      <w:pPr>
        <w:pStyle w:val="TextBody"/>
        <w:bidi w:val="0"/>
        <w:spacing w:before="0" w:after="0"/>
        <w:ind w:left="360" w:right="0" w:hanging="0"/>
        <w:jc w:val="left"/>
        <w:rPr/>
      </w:pPr>
      <w:r>
        <w:rPr/>
        <w:t>​</w:t>
      </w:r>
    </w:p>
    <w:tbl>
      <w:tblPr>
        <w:tblW w:w="9471" w:type="dxa"/>
        <w:jc w:val="left"/>
        <w:tblInd w:w="0" w:type="dxa"/>
        <w:tblLayout w:type="fixed"/>
        <w:tblCellMar>
          <w:top w:w="28" w:type="dxa"/>
          <w:left w:w="28" w:type="dxa"/>
          <w:bottom w:w="28" w:type="dxa"/>
          <w:right w:w="28" w:type="dxa"/>
        </w:tblCellMar>
      </w:tblPr>
      <w:tblGrid>
        <w:gridCol w:w="124"/>
        <w:gridCol w:w="256"/>
        <w:gridCol w:w="9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protection measures, import or export licensing requirements or other restrictive actions by governments;</w:t>
            </w:r>
          </w:p>
        </w:tc>
      </w:tr>
    </w:tbl>
    <w:p>
      <w:pPr>
        <w:pStyle w:val="TextBody"/>
        <w:bidi w:val="0"/>
        <w:spacing w:before="0" w:after="0"/>
        <w:ind w:left="360" w:right="0" w:hanging="0"/>
        <w:jc w:val="left"/>
        <w:rPr/>
      </w:pPr>
      <w:r>
        <w:rPr/>
        <w:t>​</w:t>
      </w:r>
    </w:p>
    <w:tbl>
      <w:tblPr>
        <w:tblW w:w="6951" w:type="dxa"/>
        <w:jc w:val="left"/>
        <w:tblInd w:w="0" w:type="dxa"/>
        <w:tblLayout w:type="fixed"/>
        <w:tblCellMar>
          <w:top w:w="28" w:type="dxa"/>
          <w:left w:w="28" w:type="dxa"/>
          <w:bottom w:w="28" w:type="dxa"/>
          <w:right w:w="28" w:type="dxa"/>
        </w:tblCellMar>
      </w:tblPr>
      <w:tblGrid>
        <w:gridCol w:w="124"/>
        <w:gridCol w:w="256"/>
        <w:gridCol w:w="6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differing reimbursement regimes and price controls in certain non-U.S. markets;</w:t>
            </w:r>
          </w:p>
        </w:tc>
      </w:tr>
    </w:tbl>
    <w:p>
      <w:pPr>
        <w:pStyle w:val="TextBody"/>
        <w:bidi w:val="0"/>
        <w:spacing w:before="0" w:after="0"/>
        <w:ind w:left="360" w:right="0" w:hanging="0"/>
        <w:jc w:val="left"/>
        <w:rPr/>
      </w:pPr>
      <w:r>
        <w:rPr/>
        <w:t>​</w:t>
      </w:r>
    </w:p>
    <w:tbl>
      <w:tblPr>
        <w:tblW w:w="4506" w:type="dxa"/>
        <w:jc w:val="left"/>
        <w:tblInd w:w="0" w:type="dxa"/>
        <w:tblLayout w:type="fixed"/>
        <w:tblCellMar>
          <w:top w:w="28" w:type="dxa"/>
          <w:left w:w="28" w:type="dxa"/>
          <w:bottom w:w="28" w:type="dxa"/>
          <w:right w:w="28" w:type="dxa"/>
        </w:tblCellMar>
      </w:tblPr>
      <w:tblGrid>
        <w:gridCol w:w="124"/>
        <w:gridCol w:w="256"/>
        <w:gridCol w:w="41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consequences from changes in tax laws;</w:t>
            </w:r>
          </w:p>
        </w:tc>
      </w:tr>
    </w:tbl>
    <w:p>
      <w:pPr>
        <w:pStyle w:val="TextBody"/>
        <w:bidi w:val="0"/>
        <w:spacing w:before="0" w:after="0"/>
        <w:ind w:left="36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tax, employment, immigration and labor laws for employees living or traveling abroad, including, for example, the variable tax treatment in different jurisdictions of options granted under our share option schemes or equity incentive plans;</w:t>
            </w:r>
          </w:p>
        </w:tc>
      </w:tr>
    </w:tbl>
    <w:p>
      <w:pPr>
        <w:pStyle w:val="TextBody"/>
        <w:bidi w:val="0"/>
        <w:spacing w:before="0" w:after="0"/>
        <w:ind w:left="360" w:right="0" w:hanging="0"/>
        <w:jc w:val="left"/>
        <w:rPr/>
      </w:pPr>
      <w:r>
        <w:rPr/>
        <w:t>​</w:t>
      </w:r>
    </w:p>
    <w:tbl>
      <w:tblPr>
        <w:tblW w:w="8331" w:type="dxa"/>
        <w:jc w:val="left"/>
        <w:tblInd w:w="0" w:type="dxa"/>
        <w:tblLayout w:type="fixed"/>
        <w:tblCellMar>
          <w:top w:w="28" w:type="dxa"/>
          <w:left w:w="28" w:type="dxa"/>
          <w:bottom w:w="28" w:type="dxa"/>
          <w:right w:w="28" w:type="dxa"/>
        </w:tblCellMar>
      </w:tblPr>
      <w:tblGrid>
        <w:gridCol w:w="124"/>
        <w:gridCol w:w="256"/>
        <w:gridCol w:w="79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workforce uncertainty in countries where labor unrest is more common than in the United States;</w:t>
            </w:r>
          </w:p>
        </w:tc>
      </w:tr>
    </w:tbl>
    <w:p>
      <w:pPr>
        <w:pStyle w:val="TextBody"/>
        <w:bidi w:val="0"/>
        <w:spacing w:before="0" w:after="0"/>
        <w:ind w:left="36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or administrative actions resulting from claims against us by current or former employees or consultants individually or as part of class actions, including claims of wrongful terminations, discrimination, misclassification or other violations of labor law or other alleged conduct;</w:t>
            </w:r>
          </w:p>
        </w:tc>
      </w:tr>
    </w:tbl>
    <w:p>
      <w:pPr>
        <w:pStyle w:val="TextBody"/>
        <w:bidi w:val="0"/>
        <w:spacing w:before="0" w:after="0"/>
        <w:ind w:left="360" w:right="0" w:hanging="0"/>
        <w:jc w:val="left"/>
        <w:rPr/>
      </w:pPr>
      <w:r>
        <w:rPr/>
        <w:t>​</w:t>
      </w:r>
    </w:p>
    <w:tbl>
      <w:tblPr>
        <w:tblW w:w="9471" w:type="dxa"/>
        <w:jc w:val="left"/>
        <w:tblInd w:w="0" w:type="dxa"/>
        <w:tblLayout w:type="fixed"/>
        <w:tblCellMar>
          <w:top w:w="28" w:type="dxa"/>
          <w:left w:w="28" w:type="dxa"/>
          <w:bottom w:w="28" w:type="dxa"/>
          <w:right w:w="28" w:type="dxa"/>
        </w:tblCellMar>
      </w:tblPr>
      <w:tblGrid>
        <w:gridCol w:w="124"/>
        <w:gridCol w:w="256"/>
        <w:gridCol w:w="9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associated with staffing and managing international operations, including differing labor relations;</w:t>
            </w:r>
          </w:p>
        </w:tc>
      </w:tr>
    </w:tbl>
    <w:p>
      <w:pPr>
        <w:pStyle w:val="TextBody"/>
        <w:bidi w:val="0"/>
        <w:spacing w:before="0" w:after="0"/>
        <w:ind w:left="360" w:right="0" w:hanging="0"/>
        <w:jc w:val="left"/>
        <w:rPr/>
      </w:pPr>
      <w:r>
        <w:rPr/>
        <w:t>​</w:t>
      </w:r>
    </w:p>
    <w:tbl>
      <w:tblPr>
        <w:tblW w:w="10176" w:type="dxa"/>
        <w:jc w:val="left"/>
        <w:tblInd w:w="0" w:type="dxa"/>
        <w:tblLayout w:type="fixed"/>
        <w:tblCellMar>
          <w:top w:w="28" w:type="dxa"/>
          <w:left w:w="28" w:type="dxa"/>
          <w:bottom w:w="28" w:type="dxa"/>
          <w:right w:w="28" w:type="dxa"/>
        </w:tblCellMar>
      </w:tblPr>
      <w:tblGrid>
        <w:gridCol w:w="124"/>
        <w:gridCol w:w="256"/>
        <w:gridCol w:w="97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production shortages resulting from any events affecting raw material supply or manufacturing capabilities abroad; and</w:t>
            </w:r>
          </w:p>
        </w:tc>
      </w:tr>
    </w:tbl>
    <w:p>
      <w:pPr>
        <w:pStyle w:val="TextBody"/>
        <w:bidi w:val="0"/>
        <w:spacing w:before="0" w:after="0"/>
        <w:ind w:left="360" w:right="0" w:hanging="0"/>
        <w:jc w:val="left"/>
        <w:rPr/>
      </w:pPr>
      <w:r>
        <w:rPr/>
        <w:t>​</w:t>
      </w:r>
    </w:p>
    <w:p>
      <w:pPr>
        <w:pStyle w:val="Normal"/>
        <w:bidi w:val="0"/>
        <w:spacing w:before="0" w:after="0"/>
        <w:jc w:val="left"/>
        <w:rPr>
          <w:sz w:val="4"/>
          <w:szCs w:val="4"/>
        </w:rPr>
      </w:pPr>
      <w:r>
        <w:rPr>
          <w:sz w:val="4"/>
          <w:szCs w:val="4"/>
        </w:rPr>
      </w:r>
      <w:bookmarkStart w:id="1011" w:name="_cp_text_1_84"/>
      <w:bookmarkStart w:id="1012" w:name="_cp_text_1_83"/>
      <w:bookmarkStart w:id="1013" w:name="_cp_text_1_84"/>
      <w:bookmarkStart w:id="1014" w:name="_cp_text_1_83"/>
      <w:bookmarkEnd w:id="1013"/>
      <w:bookmarkEnd w:id="1014"/>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interruptions resulting from geo-political actions, including war and terrorism, natural disasters, including earthquakes, typhoons, floods and fires, or public health crises.</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Any or all of these factors could have a material adverse impact on our business, financial condition and results of operations. Moreover, global instability may continue as a result of geopolitical risks, including evolving impacts from tariffs, sanctions or other trade tensions between the United States and other countries, or demand or supply shocks from events such as major terrorist attacks, war, natural disasters or actual or threatened public health pandemics or other emergencies. These events could have a lasting impact on regional and global economies, any or all of which could disrupt our supply chain and increase the costs associated with or otherwise adversely affect our ability to conduct ongoing and future clinical trials of our product candidates. In addition, continued instability may adversely impact our ability to raise capital in the future on favorable terms or at all.</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International trade policies, including tariffs, sanctions and trade barriers may adversely affect our business, financial condition, results of operations and prospects.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U.S. government has announced substantial new tariffs affecting a wide range of products and jurisdictions and has indicated an intention to continue developing new trade policies, including with respect to the pharmaceutical industry. In response, certain foreign governments have announced or implemented retaliatory tariffs and other protectionist measures. These developments have created a dynamic and unpredictable trade landscape, which may adversely affect our business, results of operations, financial conditions and prospects. For example, in February 2026, the U.S. Supreme Court invalidated certain tariffs imposed by the U.S. government under emergency statutory authority in 2025. Shortly thereafter, President Trump signed an executive order implementing a new 10% global tariff pursuant to an alternative statutory authority, which may be raised up to 15%. In April 2026, President Trump issued a Proclamation invoking Section 232 of the Trade Expansion Act of 1962 to impose tariffs on imports of patented pharmaceuticals, biologics, and associated ingredients into the United States. The action affects pharmaceutical manufacturers, importers, and supply chain participants. Specifically, beginning July 31, 2026, a 100% tariff will apply to pharmaceutical articles that are subject to a valid, unexpired U.S. patents and are listed in the FDA’s Approved Drug Products with Therapeutic Equivalence Evaluations or are listed in the FDA’s Lists of Licensed Biological Products. The 100% tariff also applies to active pharmaceutical ingredients and key starting materials for such articles. Certain categories of products are exempt from these tariffs, including generic pharmaceuticals and biosimilars; U.S.-origin pharmaceutical products, active pharmaceutical ingredients and key starting materials; products classified in certain 10-digit tariff codes, listed in Annex IV of the Proclamation; drugs and associated ingredients for all approved indications that are designated as orphan pursuant to the Orphan Drug Act; drugs for certain specific uses, including nuclear medicines; plasma-derived therapies; fertility treatments; cell and gene therapies; antibody drug conjugates; medical countermeasures related to chemical, biological, radiological, and nuclear threats; animal health; and other specialty pharmaceutical products to be later identified by the Secretary of Commerce; and goods that qualify as “prototypes to be used exclusively for development, testing, product evaluation, or quality control purposes,” may be excluded from the additional tariffs.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or future tariffs or other trade barriers may result in increased research and development expenses, including with respect to increased costs associated with active pharmaceutical ingredients, raw materials, laboratory equipment and research materials and components. In addition, such tariffs may increase our supply chain complexity and could also potentially disrupt our existing supply chain. Unlike consumer goods, pharmaceuticals face unique regulatory constraints that make rapid supply chain adjustments particularly difficult and costly.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negatively impacting our ability to secure additional financing on favorable terms or at all. In addition, as we advance toward commercialization in the future, tariffs and trade restrictions could hinder our ability to establish cost-effective production capabilities, negatively impacting our growth prospects.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complexity of announced or future tariffs may also increase the risk that we or our customers or suppliers may be subject to civil or criminal enforcement actions in the United States or foreign jurisdictions related to compliance with trade regulations. Foreign governments may also adopt non-tariff measures, such as procurement preferences or informal disincentives to engage with, purchase from or invest in U.S. entities, which may limit our ability to compete internationally and attract non-U.S. investment, employees, customers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do not own or operate any manufacturing facilities for production of clinical or commercial supply. We currently rely, and expect to continue to rely on third parties, including those located in China, for supply of our product candidates, as well as for manufacture of any products that we may commercialize, if approved. For further information concerning our reliance on third parties, see the risk factor titled “</w:t>
      </w:r>
      <w:r>
        <w:rPr>
          <w:rFonts w:ascii="Times New Roman;Times;serif" w:hAnsi="Times New Roman;Times;serif"/>
          <w:i/>
          <w:sz w:val="20"/>
        </w:rPr>
        <w:t>Risks Related to Our Dependence on Third Parties</w:t>
      </w:r>
      <w:r>
        <w:rPr>
          <w:rFonts w:ascii="Times New Roman;Times;serif" w:hAnsi="Times New Roman;Times;serif"/>
          <w:sz w:val="20"/>
        </w:rPr>
        <w:t xml:space="preserve">— </w:t>
      </w:r>
      <w:r>
        <w:rPr>
          <w:rFonts w:ascii="Times New Roman;Times;serif" w:hAnsi="Times New Roman;Times;serif"/>
          <w:i/>
          <w:sz w:val="20"/>
        </w:rPr>
        <w:t xml:space="preserve">We intend to rely on third parties to manufacture product candidates and supply raw materials used in our product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 xml:space="preserve">candidates, such as </w:t>
      </w:r>
      <w:r>
        <w:rPr>
          <w:rFonts w:ascii="Times New Roman;Times;serif" w:hAnsi="Times New Roman;Times;serif"/>
          <w:i/>
          <w:sz w:val="15"/>
        </w:rPr>
        <w:t>212</w:t>
      </w:r>
      <w:r>
        <w:rPr>
          <w:rFonts w:ascii="Times New Roman;Times;serif" w:hAnsi="Times New Roman;Times;serif"/>
          <w:i/>
          <w:sz w:val="20"/>
        </w:rPr>
        <w:t>Pb, which increases the risk that we will not have sufficient quantities of such product candidates or products or such quantities at an acceptable cost, which could delay, prevent or impair our development or commercialization efforts.</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Cyber-attacks, failures</w:t>
      </w:r>
      <w:r>
        <w:rPr>
          <w:rFonts w:ascii="Times New Roman;Times;serif" w:hAnsi="Times New Roman;Times;serif"/>
          <w:sz w:val="20"/>
        </w:rPr>
        <w:t xml:space="preserve"> </w:t>
      </w:r>
      <w:r>
        <w:rPr>
          <w:rFonts w:ascii="Times New Roman;Times;serif" w:hAnsi="Times New Roman;Times;serif"/>
          <w:b/>
          <w:i/>
          <w:sz w:val="20"/>
        </w:rPr>
        <w:t>in or interruptions of, or other compromise to our information technology systems, or those of third parties with whom we work, or our data could result in adverse consequences that materially affect our business, including without limitation,</w:t>
      </w:r>
      <w:r>
        <w:rPr>
          <w:rFonts w:ascii="Times New Roman;Times;serif" w:hAnsi="Times New Roman;Times;serif"/>
          <w:sz w:val="20"/>
        </w:rPr>
        <w:t xml:space="preserve"> </w:t>
      </w:r>
      <w:r>
        <w:rPr>
          <w:rFonts w:ascii="Times New Roman;Times;serif" w:hAnsi="Times New Roman;Times;serif"/>
          <w:b/>
          <w:i/>
          <w:sz w:val="20"/>
        </w:rPr>
        <w:t>regulatory investigations or actions, litigation, fines and penalties, information theft, data corruption, harm to our reputation and brand, significant disruption of our business operations, and other adverse consequences</w:t>
      </w:r>
      <w:r>
        <w:rPr>
          <w:rFonts w:ascii="Times New Roman;Times;serif" w:hAnsi="Times New Roman;Times;serif"/>
          <w:i/>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the ordinary course of business, we and the third parties with whom we work process sensitive information. 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cyber-attacks, that could materially disrupt our systems and operations, supply chain, and ability conduct our research and development programs and our clinical trials. We and the third parties with whom we work may be subject to a variety of evolving threats, including but not limited to social-engineering attacks (including through phishing attacks and deep fakes, which may be increasingly more difficult to identify as fake), malicious code (such as viruses and worms), malware (including as a result of advanced persistent threat intrusions), denial-of-service attacks, credential stuffing attacks, credential harvesting, personnel misconduct or error, ransomware attacks, supply-chain attacks, software bugs, server malfunctions, software or hardware failures, loss of data or other information technology assets, adware, telecommunications failures, attacks enhanced or facilitated by AI and other similar threats. In particular, severe ransomware attacks are becoming increasingly prevalent and severe and can lead to significant interruptions in our operations, disruption of clinical trials, loss of sensitive data (including data related to clinical trials), loss of income, reputational harm, and diversion of funds. Extortion payments may alleviate the negative impact of a ransomware attack, but we may be unwilling or unable to make such payments due to, for example, applicable laws or regulations prohibiting such payments. Remote work has increased risks to our information technology systems and data, as more of our employees utilize network connections, computers, and devices outside of our premises or network, including working at home, while in transit and in public locations.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addition, our reliance on third-party service providers could introduce new cybersecurity risks and vulnerabilities, including supply-chain attacks, and other threats to our business operations. We rely on third-party service providers and technologies to operate critical business systems to process sensitive information in a variety of contexts, including, without limitation, third-party providers of information technology infrastructure, cloud-based infrastructure, encryption and authentication technology, employee email, content delivery to customers, CROs for managing clinical trial data, and other functions. We also rely on third-party service providers to provide other products, services, parts, or otherwise operate our business.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the liability of such third party may be limited such that any award may be insufficient to cover our damages, or we may be unable to recover any such award. In addition, supply-chain attacks have increased in frequency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and severity, and we cannot guarantee that third parties’ infrastructure in our supply chain or our third-party partners’ supply chains have not been compromised.</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may expend significant resources or modify certain of our business activities (which could include our clinical trial activities) to try to protect against security incidents. Certain data privacy and security obligations may require us to implement and maintain specific security measures, industry-standard or reasonable security measures to protect our information technology systems and sensitive information.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While we have established physical, electronic and organizational security measures designed to safeguard and secure our systems against security incidents, there can be no assurance that these measures will be effective. We take steps designed to detect, mitigate and remediate vulnerabilities in our information technology systems (such as our hardware and/or software, including that of third parties with whom we work). We may not, however, detect and remediate all such vulnerabilities including on a timely basis. Further, we may experience delays in developing and deploying remedial measures and patches designed to address identified vulnerabilities. Vulnerabilities could be exploited and result in a security incident.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with whom we work. For example, we have been the target of unsuccessful phishing attempts in the past and we expect such attempts will continue in the future. A security incident or other interruption could disrupt our ability (and that of third parties with whom we work) to provide our products or services. For example, the loss of clinical trial data from completed or ongoing or planned clinical trials could result in delays in our regulatory approval efforts and significantly increase our costs to recover or reproduce the data.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Applicable data privacy and security obligations may require us, or we may voluntarily choose, to notify relevant stakeholders, including affected individuals, customers, regulators and investors, of security incidents, or to take other actions, such as providing credit monitoring and identity theft protection services. Such disclosures and related actions can be costly, and the disclosure or the failure to comply with such applicable requirements could lead to adverse consequences. If we (or a third party with whom we work) experience a security incident or are perceived to have experienced a security incident, we may experience material adverse consequences. These consequences may include: government enforcement actions (for example, investigations, fines, penalties, audits, and inspections); additional reporting requirements and/or oversight; restrictions on processing sensitive information (including personal data); litigation (including class-action claims); indemnification obligations; negative publicity; reputational harm; monetary fund diversions; interruptions in our operations (including availability of data); financial loss; and other similar harms. Security incidents and attendant material consequences may cause customers to stop using our services, deter new customers from using our services, and negatively impact our ability to grow and operate our business. 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Additionally, our sensitive information, including personal data, could be leaked, disclosed or revealed as a result of, or in connection with, our employees’, personnel’s, or vendors’ use of generative AI technologies.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Social media platforms and artificial intelligence-based platforms present new risks and challenges to our business</w:t>
      </w:r>
      <w:r>
        <w:rPr>
          <w:rFonts w:ascii="Times New Roman;Times;serif" w:hAnsi="Times New Roman;Times;serif"/>
          <w:i/>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Social media is increasingly being used to communicate information about us, our programs and the diseases our therapeutics are being developed to treat. Social media practices in the pharmaceutical and biotechnology industries are evolving, which creates uncertainty and risk of noncompliance with regulations applicable to our business. For example, patients may use social media platforms to comment on the effectiveness of, or adverse experiences with, a product or a product candidate, which could result in reporting obligations or other consequences. Further, the accidental or intentional disclosure of non-public information by our workforce or others through media channels could lead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information loss. In addition, there is a risk of inappropriate disclosure of sensitive information or negative or inaccurate posts or comments about us, our products, or our product candidates on any social media platform. The nature of social media prevents us from having real-time control over postings about us on social media. We may not be able to reverse damage to our reputation from negative publicity or adverse information posted on social media platforms or similar mediums. If any of these events were to occur or we otherwise fail to comply with application regulations, we could incur liability, face restrictive regulatory actions or incur other harm to our business including quick and irreversible damage to our reputation, brand image and goodwill.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Additionally, AI-based platforms are increasingly being used in the pharmaceutical industry and we are expanding the use of AI-based platforms in our operations for data analysis, summarization and automation, which subjects us to a variety of risks, including potential cybersecurity vulnerabilities, breaches of data privacy and the potential for inadvertent or unauthorized disclosure of our confidential information and intellectual property. Our use, or the use by our vendors, suppliers and contractors with access to our proprietary and confidential information, including trade secrets, may lead to the release of our proprietary and confidential information, which may negatively impact our company, including our ability to realize the benefit of our intellectual property. Moreover, AI-based platforms may create flawed, incomplete, or inaccurate outputs, some of which may appear correct. This may happen if the inputs that the model relied on were inaccurate, incomplete or flawed (including if a bad actor “poisons” the AI-based platform with bad inputs or logic), or if the logic of the AI-based platform is flawed (a so-called “hallucination”).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Exchange rate fluctuations may materially affect our results of operations and financial condition</w:t>
      </w:r>
      <w:r>
        <w:rPr>
          <w:rFonts w:ascii="Times New Roman;Times;serif" w:hAnsi="Times New Roman;Times;serif"/>
          <w:i/>
          <w:sz w:val="20"/>
        </w:rPr>
        <w: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Owing to the international scope of our operations, fluctuations in exchange rates, particularly between the pound sterling and the U.S. dollar, may adversely affect us. Although we are based in the U.K., we source research and development, manufacturing, consulting and other services from the United States, European Union and Asia that are billed in U.S. dollars. Further, potential future revenue may be derived from abroad, particularly from the United States. As a result, our business and the price of our ADSs may be affected by fluctuations in foreign exchange rates not only between the pound sterling and the U.S. dollar, but also the euro, which may have a significant impact on our results of operations and cash flows from period to period. Currently, we do not have any exchange rate hedging arrangements in place. Any fluctuation in the exchange rate of these foreign currencies may negatively impact our business, financial condition and operating results. Global economic events have and may continue to significantly impact local economies and the foreign exchange markets, which may increase the risks associated with sales denominated in foreign currencies</w:t>
      </w:r>
      <w:r>
        <w:rPr>
          <w:rFonts w:ascii="Times New Roman;Times;serif" w:hAnsi="Times New Roman;Times;serif"/>
          <w:sz w:val="20"/>
          <w:shd w:fill="FFFFFF" w:val="clea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Risks Related to Our Dependence on Third Parties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shd w:fill="FFFFFF" w:val="clear"/>
        </w:rPr>
        <w:t>For certain product candidates</w:t>
      </w:r>
      <w:r>
        <w:rPr>
          <w:rFonts w:ascii="Times New Roman;Times;serif" w:hAnsi="Times New Roman;Times;serif"/>
          <w:i/>
          <w:sz w:val="20"/>
          <w:shd w:fill="FFFFFF" w:val="clear"/>
        </w:rPr>
        <w:t xml:space="preserve">, </w:t>
      </w:r>
      <w:r>
        <w:rPr>
          <w:rFonts w:ascii="Times New Roman;Times;serif" w:hAnsi="Times New Roman;Times;serif"/>
          <w:b/>
          <w:i/>
          <w:sz w:val="20"/>
          <w:shd w:fill="FFFFFF" w:val="clear"/>
        </w:rPr>
        <w:t>we depend</w:t>
      </w:r>
      <w:r>
        <w:rPr>
          <w:rFonts w:ascii="Times New Roman;Times;serif" w:hAnsi="Times New Roman;Times;serif"/>
          <w:i/>
          <w:sz w:val="20"/>
          <w:shd w:fill="FFFFFF" w:val="clear"/>
        </w:rPr>
        <w:t>, </w:t>
      </w:r>
      <w:r>
        <w:rPr>
          <w:rFonts w:ascii="Times New Roman;Times;serif" w:hAnsi="Times New Roman;Times;serif"/>
          <w:b/>
          <w:i/>
          <w:sz w:val="20"/>
          <w:shd w:fill="FFFFFF" w:val="clear"/>
        </w:rPr>
        <w:t>or may depend</w:t>
      </w:r>
      <w:r>
        <w:rPr>
          <w:rFonts w:ascii="Times New Roman;Times;serif" w:hAnsi="Times New Roman;Times;serif"/>
          <w:i/>
          <w:sz w:val="20"/>
          <w:shd w:fill="FFFFFF" w:val="clear"/>
        </w:rPr>
        <w:t>, </w:t>
      </w:r>
      <w:r>
        <w:rPr>
          <w:rFonts w:ascii="Times New Roman;Times;serif" w:hAnsi="Times New Roman;Times;serif"/>
          <w:b/>
          <w:i/>
          <w:sz w:val="20"/>
          <w:shd w:fill="FFFFFF" w:val="clear"/>
        </w:rPr>
        <w:t>on development and commercialization collaboration partners to develop, conduct clinical trials for</w:t>
      </w:r>
      <w:r>
        <w:rPr>
          <w:rFonts w:ascii="Times New Roman;Times;serif" w:hAnsi="Times New Roman;Times;serif"/>
          <w:i/>
          <w:sz w:val="20"/>
          <w:shd w:fill="FFFFFF" w:val="clear"/>
        </w:rPr>
        <w:t>, </w:t>
      </w:r>
      <w:r>
        <w:rPr>
          <w:rFonts w:ascii="Times New Roman;Times;serif" w:hAnsi="Times New Roman;Times;serif"/>
          <w:b/>
          <w:i/>
          <w:sz w:val="20"/>
          <w:shd w:fill="FFFFFF" w:val="clear"/>
        </w:rPr>
        <w:t>obtain regulatory approvals of</w:t>
      </w:r>
      <w:r>
        <w:rPr>
          <w:rFonts w:ascii="Times New Roman;Times;serif" w:hAnsi="Times New Roman;Times;serif"/>
          <w:i/>
          <w:sz w:val="20"/>
          <w:shd w:fill="FFFFFF" w:val="clear"/>
        </w:rPr>
        <w:t>, </w:t>
      </w:r>
      <w:r>
        <w:rPr>
          <w:rFonts w:ascii="Times New Roman;Times;serif" w:hAnsi="Times New Roman;Times;serif"/>
          <w:b/>
          <w:i/>
          <w:sz w:val="20"/>
          <w:shd w:fill="FFFFFF" w:val="clear"/>
        </w:rPr>
        <w:t>and if approved</w:t>
      </w:r>
      <w:r>
        <w:rPr>
          <w:rFonts w:ascii="Times New Roman;Times;serif" w:hAnsi="Times New Roman;Times;serif"/>
          <w:i/>
          <w:sz w:val="20"/>
          <w:shd w:fill="FFFFFF" w:val="clear"/>
        </w:rPr>
        <w:t>, </w:t>
      </w:r>
      <w:r>
        <w:rPr>
          <w:rFonts w:ascii="Times New Roman;Times;serif" w:hAnsi="Times New Roman;Times;serif"/>
          <w:b/>
          <w:i/>
          <w:sz w:val="20"/>
          <w:shd w:fill="FFFFFF" w:val="clear"/>
        </w:rPr>
        <w:t>commercialize product candidates</w:t>
      </w:r>
      <w:r>
        <w:rPr>
          <w:rFonts w:ascii="Times New Roman;Times;serif" w:hAnsi="Times New Roman;Times;serif"/>
          <w:i/>
          <w:sz w:val="20"/>
          <w:shd w:fill="FFFFFF" w:val="clear"/>
        </w:rPr>
        <w:t xml:space="preserve">. </w:t>
      </w:r>
      <w:r>
        <w:rPr>
          <w:rFonts w:ascii="Times New Roman;Times;serif" w:hAnsi="Times New Roman;Times;serif"/>
          <w:b/>
          <w:i/>
          <w:sz w:val="20"/>
          <w:shd w:fill="FFFFFF" w:val="clear"/>
        </w:rPr>
        <w:t>If such partnerships fail to perform as expected</w:t>
      </w:r>
      <w:r>
        <w:rPr>
          <w:rFonts w:ascii="Times New Roman;Times;serif" w:hAnsi="Times New Roman;Times;serif"/>
          <w:i/>
          <w:sz w:val="20"/>
          <w:shd w:fill="FFFFFF" w:val="clear"/>
        </w:rPr>
        <w:t>, </w:t>
      </w:r>
      <w:r>
        <w:rPr>
          <w:rFonts w:ascii="Times New Roman;Times;serif" w:hAnsi="Times New Roman;Times;serif"/>
          <w:b/>
          <w:i/>
          <w:sz w:val="20"/>
          <w:shd w:fill="FFFFFF" w:val="clear"/>
        </w:rPr>
        <w:t>the potential for us to generate future revenue from such product candidates would be significantly reduced and our business would be harmed</w:t>
      </w:r>
      <w:r>
        <w:rPr>
          <w:rFonts w:ascii="Times New Roman;Times;serif" w:hAnsi="Times New Roman;Times;serif"/>
          <w:i/>
          <w:sz w:val="20"/>
          <w:shd w:fill="FFFFFF" w:val="clear"/>
        </w:rPr>
        <w: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certain products candidates, we depend, or may depend, on our development and commercialization collaboration partners to develop, conduct clinical trials for, and, if approved, commercialize product candidates.</w:t>
      </w:r>
    </w:p>
    <w:p>
      <w:pPr>
        <w:pStyle w:val="TextBody"/>
        <w:bidi w:val="0"/>
        <w:spacing w:before="0" w:after="0"/>
        <w:ind w:left="0" w:right="0" w:hanging="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From time to time, we may enter into collaboration agreements with third parties, such as our existing collaboration with Ionis, in which we are responsible for identifying and optimizing Bicycle peptides related to collaboration targets and our collaborators are responsible for further development and product commercialization after we complete the defined research screening and compound optimization. We depend on these collaborators to develop and, where applicable, commercialize products based on Bicycle peptides, and the success of their efforts directly impacts the milestones and royalties we will receive. We cannot provide assurance that our collaborators will be successful in or that they will devote sufficient resources to the development or commercialization of their products. If our current or future collaboration and commercialization partners do not perform in the manner we expect or fail to fulfill their responsibilities in a timely manner, or at all, if our agreements with them terminate or if the quality or accuracy of the clinical data they obtain is compromised, the clinical development, regulatory approval and commercialization efforts related to their and our product candidates and products could be delayed or terminated and it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could become necessary for us to assume the responsibility at our own expense for the clinical development of such product candidates.</w:t>
      </w:r>
    </w:p>
    <w:p>
      <w:pPr>
        <w:pStyle w:val="TextBody"/>
        <w:shd w:fill="FFFFFF" w:val="clear"/>
        <w:bidi w:val="0"/>
        <w:spacing w:before="0" w:after="0"/>
        <w:ind w:left="0" w:right="0" w:firstLine="72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From time to time, we may also explore partnership opportunities for certain of our product candidates, such as BT7480. However there can be no assurance that we will be able to do so, or that such relationships, if established, will be successful or on favorable terms.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current collaborations and any future collaborations or partnerships that we enter into are subject to numerous risks, including:</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have significant discretion in determining the efforts and resources that they will apply to the collaborations;</w:t>
            </w:r>
          </w:p>
        </w:tc>
      </w:tr>
    </w:tbl>
    <w:p>
      <w:pPr>
        <w:pStyle w:val="TextBody"/>
        <w:pBdr/>
        <w:bidi w:val="0"/>
        <w:spacing w:before="0" w:after="0"/>
        <w:ind w:left="720" w:right="0" w:hanging="36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may not perform their obligations as expected or fail to fulfill their responsibilities in a timely manner, or at all;</w:t>
            </w:r>
          </w:p>
        </w:tc>
      </w:tr>
    </w:tbl>
    <w:p>
      <w:pPr>
        <w:pStyle w:val="TextBody"/>
        <w:bidi w:val="0"/>
        <w:spacing w:before="0" w:after="0"/>
        <w:ind w:left="36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may not pursue development and commercialization of any product candidates that achieve regulatory approval or may elect not to continue or renew development or commercialization programs based on preclinical studies or clinical trial results, changes in the collaborators’ strategic focus or available funding or external factors, such as an acquisition, that divert resources or create competing priorities;</w:t>
            </w:r>
          </w:p>
        </w:tc>
      </w:tr>
    </w:tbl>
    <w:p>
      <w:pPr>
        <w:pStyle w:val="TextBody"/>
        <w:bidi w:val="0"/>
        <w:spacing w:before="0" w:after="0"/>
        <w:ind w:left="36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may delay preclinical studies or clinical trials, provide insufficient funding for clinical trials, stop a preclinical study or clinical trial or abandon a product candidate, repeat or conduct new clinical trials or require a new formulation of a product candidate for clinical testing;</w:t>
            </w:r>
          </w:p>
        </w:tc>
      </w:tr>
    </w:tbl>
    <w:p>
      <w:pPr>
        <w:pStyle w:val="TextBody"/>
        <w:bidi w:val="0"/>
        <w:spacing w:before="0" w:after="0"/>
        <w:ind w:left="36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have access to, or may be restricted from disclosing, certain information regarding product candidates being developed or commercialized under a collaboration and, consequently, may have limited ability to inform our shareholders about the status of such product candidates;</w:t>
            </w:r>
          </w:p>
        </w:tc>
      </w:tr>
    </w:tbl>
    <w:p>
      <w:pPr>
        <w:pStyle w:val="TextBody"/>
        <w:bidi w:val="0"/>
        <w:spacing w:before="0" w:after="0"/>
        <w:ind w:left="36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tc>
      </w:tr>
    </w:tbl>
    <w:p>
      <w:pPr>
        <w:pStyle w:val="TextBody"/>
        <w:bidi w:val="0"/>
        <w:spacing w:before="0" w:after="0"/>
        <w:ind w:left="36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collaborations may not result in product candidates to develop and/or preclinical studies or clinical trials conducted as part of the collaborations may not be successful;</w:t>
            </w:r>
          </w:p>
        </w:tc>
      </w:tr>
    </w:tbl>
    <w:p>
      <w:pPr>
        <w:pStyle w:val="TextBody"/>
        <w:bidi w:val="0"/>
        <w:spacing w:before="0" w:after="0"/>
        <w:ind w:left="36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candidates developed with collaborators may be viewed by our collaborators as competitive with their own product candidates or products, which may cause collaborators to stop commercialization of our product candidates;</w:t>
            </w:r>
          </w:p>
        </w:tc>
      </w:tr>
    </w:tbl>
    <w:p>
      <w:pPr>
        <w:pStyle w:val="TextBody"/>
        <w:bidi w:val="0"/>
        <w:spacing w:before="0" w:after="0"/>
        <w:ind w:left="36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collaborator with marketing and distribution rights to one or more of our product candidates that achieve regulatory approval may not commit sufficient resources to the marketing and distribution of any such product candidate; </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global economic events, including public health crises, could materially affect our operations as well as causing significant disruption in the operations and business of our collaborators and the third-party manufacturers, CROs and other service providers that we and/or our collaborators conduct business with; and</w:t>
            </w:r>
          </w:p>
        </w:tc>
      </w:tr>
    </w:tbl>
    <w:p>
      <w:pPr>
        <w:pStyle w:val="TextBody"/>
        <w:bidi w:val="0"/>
        <w:spacing w:before="0" w:after="0"/>
        <w:ind w:left="36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addition, certain collaboration and commercialization agreements provide our collaborators with rights to terminate such agreements, which rights may or may not be subject to conditions, and which rights, if exercised, would adversely affect our product development efforts and could make it difficult for us to attract new collaborators. In that event, we would likely be required to limit the size and scope of efforts for the development and commercialization of such product candidates or products; we would likely be required to seek additional financing to fund further development or identify alternative strategic collaborations; our potential to generate future revenue from royalties and milestone payments from such product candidates or products would be significantly reduced, delayed or eliminated; and it could have an adverse effect on our business and future growth prospects. Our rights to recover tangible and intangible assets and intellectual property rights needed to advance a product candidate or product after termination of a collaboration may be limited by contract, and we may not be able to advance a program post-termination</w:t>
      </w:r>
      <w:r>
        <w:rPr>
          <w:rFonts w:ascii="Times New Roman;Times;serif" w:hAnsi="Times New Roman;Times;serif"/>
          <w:sz w:val="20"/>
          <w:shd w:fill="FFFFFF" w:val="clear"/>
        </w:rPr>
        <w:t>.</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If conflicts arise with our development and commercialization collaborators or licensors</w:t>
      </w:r>
      <w:r>
        <w:rPr>
          <w:rFonts w:ascii="Times New Roman;Times;serif" w:hAnsi="Times New Roman;Times;serif"/>
          <w:i/>
          <w:sz w:val="20"/>
        </w:rPr>
        <w:t xml:space="preserve">, </w:t>
      </w:r>
      <w:r>
        <w:rPr>
          <w:rFonts w:ascii="Times New Roman;Times;serif" w:hAnsi="Times New Roman;Times;serif"/>
          <w:b/>
          <w:i/>
          <w:sz w:val="20"/>
        </w:rPr>
        <w:t>they may act in their own self-interest</w:t>
      </w:r>
      <w:r>
        <w:rPr>
          <w:rFonts w:ascii="Times New Roman;Times;serif" w:hAnsi="Times New Roman;Times;serif"/>
          <w:i/>
          <w:sz w:val="20"/>
        </w:rPr>
        <w:t xml:space="preserve">, </w:t>
      </w:r>
      <w:r>
        <w:rPr>
          <w:rFonts w:ascii="Times New Roman;Times;serif" w:hAnsi="Times New Roman;Times;serif"/>
          <w:b/>
          <w:i/>
          <w:sz w:val="20"/>
        </w:rPr>
        <w:t>which may be adverse to the interests of our company</w:t>
      </w:r>
      <w:r>
        <w:rPr>
          <w:rFonts w:ascii="Times New Roman;Times;serif" w:hAnsi="Times New Roman;Times;serif"/>
          <w:i/>
          <w:sz w:val="20"/>
        </w:rPr>
        <w: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may in the future experience disagreements with our development and commercialization collaborators or licensors. Conflicts may arise in our collaboration and license arrangements with third parties due to one or more of the following:</w:t>
      </w:r>
    </w:p>
    <w:p>
      <w:pPr>
        <w:pStyle w:val="TextBody"/>
        <w:bidi w:val="0"/>
        <w:spacing w:before="0" w:after="0"/>
        <w:ind w:left="0" w:right="0" w:hanging="0"/>
        <w:jc w:val="left"/>
        <w:rPr/>
      </w:pPr>
      <w:r>
        <w:rPr/>
        <w:t>​</w:t>
      </w:r>
    </w:p>
    <w:tbl>
      <w:tblPr>
        <w:tblW w:w="10056" w:type="dxa"/>
        <w:jc w:val="left"/>
        <w:tblInd w:w="0" w:type="dxa"/>
        <w:tblLayout w:type="fixed"/>
        <w:tblCellMar>
          <w:top w:w="28" w:type="dxa"/>
          <w:left w:w="28" w:type="dxa"/>
          <w:bottom w:w="28" w:type="dxa"/>
          <w:right w:w="28" w:type="dxa"/>
        </w:tblCellMar>
      </w:tblPr>
      <w:tblGrid>
        <w:gridCol w:w="124"/>
        <w:gridCol w:w="256"/>
        <w:gridCol w:w="9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disputes with respect to milestone, royalty and other payments that are believed due under the applicable agreements;</w:t>
            </w:r>
          </w:p>
        </w:tc>
      </w:tr>
    </w:tbl>
    <w:p>
      <w:pPr>
        <w:pStyle w:val="TextBody"/>
        <w:bidi w:val="0"/>
        <w:spacing w:before="0" w:after="0"/>
        <w:ind w:left="360" w:right="0" w:hanging="0"/>
        <w:jc w:val="left"/>
        <w:rPr/>
      </w:pPr>
      <w:r>
        <w:rPr/>
        <w:t>​</w:t>
      </w:r>
    </w:p>
    <w:tbl>
      <w:tblPr>
        <w:tblW w:w="8211" w:type="dxa"/>
        <w:jc w:val="left"/>
        <w:tblInd w:w="0" w:type="dxa"/>
        <w:tblLayout w:type="fixed"/>
        <w:tblCellMar>
          <w:top w:w="28" w:type="dxa"/>
          <w:left w:w="28" w:type="dxa"/>
          <w:bottom w:w="28" w:type="dxa"/>
          <w:right w:w="28" w:type="dxa"/>
        </w:tblCellMar>
      </w:tblPr>
      <w:tblGrid>
        <w:gridCol w:w="124"/>
        <w:gridCol w:w="256"/>
        <w:gridCol w:w="78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disagreements with respect to the ownership of intellectual property rights or scope of licenses;</w:t>
            </w:r>
          </w:p>
        </w:tc>
      </w:tr>
    </w:tbl>
    <w:p>
      <w:pPr>
        <w:pStyle w:val="TextBody"/>
        <w:bidi w:val="0"/>
        <w:spacing w:before="0" w:after="0"/>
        <w:ind w:left="360" w:right="0" w:hanging="0"/>
        <w:jc w:val="left"/>
        <w:rPr/>
      </w:pPr>
      <w:r>
        <w:rPr/>
        <w:t>​</w:t>
      </w:r>
    </w:p>
    <w:tbl>
      <w:tblPr>
        <w:tblW w:w="6111" w:type="dxa"/>
        <w:jc w:val="left"/>
        <w:tblInd w:w="0" w:type="dxa"/>
        <w:tblLayout w:type="fixed"/>
        <w:tblCellMar>
          <w:top w:w="28" w:type="dxa"/>
          <w:left w:w="28" w:type="dxa"/>
          <w:bottom w:w="28" w:type="dxa"/>
          <w:right w:w="28" w:type="dxa"/>
        </w:tblCellMar>
      </w:tblPr>
      <w:tblGrid>
        <w:gridCol w:w="124"/>
        <w:gridCol w:w="256"/>
        <w:gridCol w:w="57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disagreements with respect to the scope of any reporting obligations;</w:t>
            </w:r>
          </w:p>
        </w:tc>
      </w:tr>
    </w:tbl>
    <w:p>
      <w:pPr>
        <w:pStyle w:val="TextBody"/>
        <w:bidi w:val="0"/>
        <w:spacing w:before="0" w:after="0"/>
        <w:ind w:left="36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unwillingness on the part of a collaborator to keep us informed regarding the progress of its development and commercialization activities, or to permit public disclosure of these activities; and</w:t>
            </w:r>
          </w:p>
        </w:tc>
      </w:tr>
    </w:tbl>
    <w:p>
      <w:pPr>
        <w:pStyle w:val="TextBody"/>
        <w:bidi w:val="0"/>
        <w:spacing w:before="0" w:after="0"/>
        <w:ind w:left="36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disputes with respect to a collaborator’s or our development or commercialization efforts with respect to our products and product candidates.</w:t>
            </w:r>
          </w:p>
        </w:tc>
      </w:tr>
    </w:tbl>
    <w:p>
      <w:pPr>
        <w:pStyle w:val="TextBody"/>
        <w:pBdr/>
        <w:bidi w:val="0"/>
        <w:spacing w:before="0" w:after="0"/>
        <w:ind w:left="360" w:right="0" w:hanging="36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example, we were previously involved in litigation with Pepscan Systems B.V., and its affiliates, or Pepscan, related to a non-exclusive patent license agreement that our subsidiary, BicycleRD Limited, or BicycleRD, entered into with Pepscan in 2009.</w:t>
      </w:r>
    </w:p>
    <w:p>
      <w:pPr>
        <w:pStyle w:val="TextBody"/>
        <w:bidi w:val="0"/>
        <w:spacing w:before="0" w:after="0"/>
        <w:ind w:left="0" w:right="0" w:firstLine="72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Conflicts with our development and commercialization collaborators or licensors could materially adversely affect our business, financial condition or results of operations and future growth prospects. If we are unable to prevail against these challenges, our intellectual property estate may be materially harmed, which would impair our ability to establish competitive barriers to entry in the form of intellectual property protections.</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We rely on third parties</w:t>
      </w:r>
      <w:r>
        <w:rPr>
          <w:rFonts w:ascii="Times New Roman;Times;serif" w:hAnsi="Times New Roman;Times;serif"/>
          <w:i/>
          <w:sz w:val="20"/>
        </w:rPr>
        <w:t xml:space="preserve">, </w:t>
      </w:r>
      <w:r>
        <w:rPr>
          <w:rFonts w:ascii="Times New Roman;Times;serif" w:hAnsi="Times New Roman;Times;serif"/>
          <w:b/>
          <w:i/>
          <w:sz w:val="20"/>
        </w:rPr>
        <w:t>including independent clinical investigators and CROs</w:t>
      </w:r>
      <w:r>
        <w:rPr>
          <w:rFonts w:ascii="Times New Roman;Times;serif" w:hAnsi="Times New Roman;Times;serif"/>
          <w:i/>
          <w:sz w:val="20"/>
        </w:rPr>
        <w:t xml:space="preserve">, </w:t>
      </w:r>
      <w:r>
        <w:rPr>
          <w:rFonts w:ascii="Times New Roman;Times;serif" w:hAnsi="Times New Roman;Times;serif"/>
          <w:b/>
          <w:i/>
          <w:sz w:val="20"/>
        </w:rPr>
        <w:t>to conduct and sponsor some of the clinical trials of our product candidates</w:t>
      </w:r>
      <w:r>
        <w:rPr>
          <w:rFonts w:ascii="Times New Roman;Times;serif" w:hAnsi="Times New Roman;Times;serif"/>
          <w:i/>
          <w:sz w:val="20"/>
        </w:rPr>
        <w:t xml:space="preserve">. </w:t>
      </w:r>
      <w:r>
        <w:rPr>
          <w:rFonts w:ascii="Times New Roman;Times;serif" w:hAnsi="Times New Roman;Times;serif"/>
          <w:b/>
          <w:i/>
          <w:sz w:val="20"/>
        </w:rPr>
        <w:t>Any failure by a third party to meet its obligations with respect to the clinical development of our product candidates may delay or impair our ability to obtain regulatory approval for our product candidates</w:t>
      </w:r>
      <w:r>
        <w:rPr>
          <w:rFonts w:ascii="Times New Roman;Times;serif" w:hAnsi="Times New Roman;Times;serif"/>
          <w:i/>
          <w:sz w:val="20"/>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have relied upon and plan to continue to rely upon third parties, including independent clinical investigators, academic partners, regulatory affairs consultants and third-party CROs, to conduct our preclinical studies and clinical trials, including in some instances sponsoring such clinical trials, and to engage with regulatory authorities and monitor and manage data for our ongoing preclinical and clinical programs. We also utilize CROs to perform toxicology studies related to our preclinical activities. While we will have agreements governing the activities of such third parties, we will control only certain aspects of their activities and have limited influence over their actual performance. Given the breadth of clinical therapeutic areas for which we believe Bicycle molecules may have utility, we intend to continue to rely on external service providers.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Any of these third parties may terminate their engagements with us under certain circumstances. We may not be able to enter into alternative arrangements or do so on commercially reasonable terms. In addition, there is a natural transition period when a new contract research organization begins work. As a result, delays would likely occur, which could negatively impact our ability to meet our expected clinical development timelines and harm our business, financial condition and prospects.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remain responsible for ensuring that each of our preclinical studies and clinical trials is conducted in accordance with the applicable protocol and legal, regulatory and scientific standards, and our reliance on these third parties does not relieve us of our regulatory responsibilities. We and our third-party contractors and CROs are required to comply with GCP requirements, which are regulations and guidelines enforced by the FDA, the Competent Authorities of EEA countries and comparable foreign regulatory authorities for all of our products in clinical development. Regulatory authorities enforce these GCP requirements through periodic inspections of trial sponsors, principal investigators and trial sites. If we fail to exercise adequate oversight over any of our academic partners or CROs or if we or any of our academic partners or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the clinical data generated in our clinical trials may be deemed unreliable and the FDA, the EMA or comparable foreign regulatory authorities may require us to perform additional clinical trials before approving our marketing applications. We cannot assure you that upon a regulatory inspection of us, our academic partners or our CROs or other third parties performing services in connection with our clinical trials, such regulatory authority will determine that any of our clinical trials complies with GCP regulations. In addition, our clinical trials must be conducted with product produced under applicable CGMP regulations. Our failure to comply with these regulations may require us to repeat clinical trials, which would delay the regulatory approval process.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Furthermore, the third parties conducting clinical trials on our behalf are not our employees, and except for remedies available to us under our agreements with such contractors, we cannot control whether or not they devote sufficient time, skill and resources to our ongoing development programs. These contractors may also have relationships with other commercial entities, including our competitors, for whom they may also be conducting clinical trials or other drug development activities, which could impede their ability to devote appropriate time to our clinical programs. If any of the third parties conducting clinical trials on our behalf, including clinical investigators, do not successfully carry out their contractual duties for any reason, meet expected deadlines or conduct our clinical trials in accordance with regulatory requirements or our stated protocols, we may not be able to obtain, or may be delayed in obtaining, marketing approvals for our product candidates. If that occurs, we will not be able to, or may be delayed in our efforts to, successfully commercialize our product candidates.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addition, with respect to investigator-sponsored trials that are being or may be conducted, we do not control the design or conduct of these trials, and it is possible that the FDA or EMA will not view these investigator-sponsored trials as providing adequate support for future clinical trials or market approval, whether controlled by us or third parties, for any one or more reasons, including elements of the design or execution of the trials, manufacturing issues, safety concerns or other trial results. We expect that such arrangements will provide us certain information rights with respect to the investigator-sponsored trials, including the ability to obtain a license to obtain access to use and reference the data, including for our own regulatory submissions, resulting from the investigator-sponsored trials. However, we do not have control over the timing and reporting of the data from investigator-sponsored trials, nor do we own the data from the investigator-sponsored trials. If we are unable to confirm or replicate the results from the investigator-sponsored trials or if negative results are obtained, we would likely be further delayed or prevented from advancing further clinical development. Further, if investigators or institutions breach their obligations with respect to the clinical development of our product candidates, or if the data proves to be inadequate compared to the firsthand knowledge we might have gained had the investigator-sponsored trials been sponsored and conducted by us, then our ability to design and conduct any future clinical trials ourselves may be adversely affected. Additionally, the FDA or EMA may disagree with the sufficiency of our right of reference to the preclinical, manufacturing or clinical data generated by these investigator-sponsored trials, or our interpretation of preclinical, manufacturing or clinical data from these investigator-sponsored trials. If so, the FDA or EMA may require us to obtain and submit additional preclinical, manufacturing, or clinical data</w:t>
      </w:r>
      <w:r>
        <w:rPr>
          <w:rFonts w:ascii="Times New Roman;Times;serif" w:hAnsi="Times New Roman;Times;serif"/>
          <w:sz w:val="20"/>
          <w:shd w:fill="FFFFFF" w:val="clear"/>
        </w:rPr>
        <w:t>.</w:t>
      </w:r>
    </w:p>
    <w:p>
      <w:pPr>
        <w:pStyle w:val="TextBody"/>
        <w:bidi w:val="0"/>
        <w:spacing w:before="0" w:after="0"/>
        <w:ind w:left="0" w:right="0" w:firstLine="720"/>
        <w:jc w:val="left"/>
        <w:rPr>
          <w:shd w:fill="FFFFFF" w:val="clear"/>
        </w:rPr>
      </w:pPr>
      <w:r>
        <w:rPr>
          <w:shd w:fill="FFFFFF"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b/>
          <w:i/>
          <w:sz w:val="20"/>
        </w:rPr>
        <w:t xml:space="preserve">We intend to rely on third parties to manufacture product candidates and supply raw materials used in our product candidates, such as </w:t>
      </w:r>
      <w:r>
        <w:rPr>
          <w:rFonts w:ascii="Times New Roman;Times;serif" w:hAnsi="Times New Roman;Times;serif"/>
          <w:b/>
          <w:i/>
          <w:sz w:val="15"/>
        </w:rPr>
        <w:t>212</w:t>
      </w:r>
      <w:r>
        <w:rPr>
          <w:rFonts w:ascii="Times New Roman;Times;serif" w:hAnsi="Times New Roman;Times;serif"/>
          <w:b/>
          <w:i/>
          <w:sz w:val="20"/>
        </w:rPr>
        <w:t>Pb</w:t>
      </w:r>
      <w:r>
        <w:rPr>
          <w:rFonts w:ascii="Times New Roman;Times;serif" w:hAnsi="Times New Roman;Times;serif"/>
          <w:i/>
          <w:sz w:val="20"/>
        </w:rPr>
        <w:t xml:space="preserve">, </w:t>
      </w:r>
      <w:r>
        <w:rPr>
          <w:rFonts w:ascii="Times New Roman;Times;serif" w:hAnsi="Times New Roman;Times;serif"/>
          <w:b/>
          <w:i/>
          <w:sz w:val="20"/>
        </w:rPr>
        <w:t>which increases the risk that we will not have sufficient quantities of such product candidates or products or such quantities at an acceptable cost</w:t>
      </w:r>
      <w:r>
        <w:rPr>
          <w:rFonts w:ascii="Times New Roman;Times;serif" w:hAnsi="Times New Roman;Times;serif"/>
          <w:i/>
          <w:sz w:val="20"/>
        </w:rPr>
        <w:t xml:space="preserve">, </w:t>
      </w:r>
      <w:r>
        <w:rPr>
          <w:rFonts w:ascii="Times New Roman;Times;serif" w:hAnsi="Times New Roman;Times;serif"/>
          <w:b/>
          <w:i/>
          <w:sz w:val="20"/>
        </w:rPr>
        <w:t>which could delay</w:t>
      </w:r>
      <w:r>
        <w:rPr>
          <w:rFonts w:ascii="Times New Roman;Times;serif" w:hAnsi="Times New Roman;Times;serif"/>
          <w:i/>
          <w:sz w:val="20"/>
        </w:rPr>
        <w:t xml:space="preserve">, </w:t>
      </w:r>
      <w:r>
        <w:rPr>
          <w:rFonts w:ascii="Times New Roman;Times;serif" w:hAnsi="Times New Roman;Times;serif"/>
          <w:b/>
          <w:i/>
          <w:sz w:val="20"/>
        </w:rPr>
        <w:t>prevent or impair our development or commercialization efforts</w:t>
      </w:r>
      <w:r>
        <w:rPr>
          <w:rFonts w:ascii="Times New Roman;Times;serif" w:hAnsi="Times New Roman;Times;serif"/>
          <w:i/>
          <w:sz w:val="20"/>
        </w:rPr>
        <w: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do not own or operate manufacturing facilities for the production of clinical or commercial supplies of the product candidates that we are developing or evaluating in our development programs. We have limited personnel with experience in drug manufacturing and lack the resources and the capabilities to manufacture any of our product candidates on a clinical or commercial scale. We rely on third parties, including those located in China, for supply of our product candidates, and our strategy is to outsource all manufacturing of our product candidates and products to third parties. For any activities conducted in China, we are exposed to the increased possibility of supply disruptions and higher costs in the event of changes in the policies of the U.S. or Chinese governments including tariffs, political unrest or unstable economic conditions including sanctions on China or any of our China-based suppliers. Our manufacturing costs could also increase as a result of future appreciation of the local currency in China or increased labor costs if the demand for skilled laborers increases and/or the availability of skilled labor declines in China. In addition, certain Chinese biotechnology companies may become subject to trade restrictions, sanctions, other regulatory requirements, or proposed legislation by the U.S. government, which could restrict or even prohibit our ability to work with such entities, thereby potentially disrupting the supply of material to us. Such disruption could have adverse effects on the development of our product candidates and our business operations. For example, the United States has recently passed legislation, namely the BIOSECURE Act, to prohibit U.S. federal executive agencies from procuring or obtaining any biotechnology equipment or service produced or provided by a “biotechnology company of concern,” or BCC, or entering into or renewing a contract, loan, or grant with an entity that uses such biotechnology equipment or service. Specifically, on December 18, 2025, President Trump signed the National Defense Authorization Act for fiscal year 2026 into law, which includes the BIOSECURE Act. The BIOSECURE Act prohibits the U.S. government from procuring or obtaining biotechnology equipment or services produced or provided by a BCC; entering into, extending, or renewing government contracts with an entity that directly or indirectly uses biotechnology equipment or services from a BCC in performance of that federal contract; and/or issuing grants or loans to purchase, obtain, or use biotechnology equipment or services produced by a BCC. The BIOSECURE Act also prohibits U.S. government loan and grant recipients from using federal loan or grant money to enter into contracts with entities that use equipment from BCCs in the performance of any federal prime contract or subcontract. Companies designated as a BCC include (i) certain entities that are identified on the U.S. Department of Defense’s annual List of Chinese Military Companies, also known as the 1260H List, (ii) companies that the U.S. government designates as BCCs pursuant to certain criteria and (iii) certain subsidiaries or parent or successor entities of the foregoing. There is a “safe harbor” provision providing that the restrictions do not apply to equipment or services that were formerly but are no longer provided by a BCC, as well as a “grandfathering” provision providing that the prohibitions shall not apply for a five-year period to biotechnology equipment or services produced or provided under a contract or agreement entered into before the applicable effective date. Given the BIOSECURE Act, we may be restricted in our ability to work with certain Chinese biotechnology companies to the extent we would contract with, or otherwise receive funding from, the U.S. government.</w:t>
      </w:r>
    </w:p>
    <w:p>
      <w:pPr>
        <w:pStyle w:val="TextBody"/>
        <w:bidi w:val="0"/>
        <w:spacing w:before="0" w:after="0"/>
        <w:ind w:left="0" w:right="0" w:firstLine="720"/>
        <w:jc w:val="left"/>
        <w:rPr/>
      </w:pPr>
      <w:r>
        <w:rPr/>
        <w:t>​</w:t>
      </w:r>
    </w:p>
    <w:p>
      <w:pPr>
        <w:pStyle w:val="TextBody"/>
        <w:bidi w:val="0"/>
        <w:spacing w:lineRule="auto" w:line="240"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are substantially dependent on third parties for supply of our raw material used in our product candidates. Although we believe our present suppliers have adequate quantities of raw material to meet our current needs, we may encounter supply shortages which could adversely affect our business. There can be no assurance that our suppliers will renew contracts on acceptable terms, or at all. In addition, as it relates to our BRC and BIA molecules, we expect future product candidates to include </w:t>
      </w:r>
      <w:r>
        <w:rPr>
          <w:rFonts w:ascii="Times New Roman;Times;serif" w:hAnsi="Times New Roman;Times;serif"/>
          <w:sz w:val="15"/>
        </w:rPr>
        <w:t>212</w:t>
      </w:r>
      <w:r>
        <w:rPr>
          <w:rFonts w:ascii="Times New Roman;Times;serif" w:hAnsi="Times New Roman;Times;serif"/>
          <w:sz w:val="20"/>
        </w:rPr>
        <w:t xml:space="preserve">Pb or other radioisotopes. While we have announced arrangements with the United Kingdom Nuclear Decommissioning Authority, United Kingdom National Nuclear Laboratory and SpectronRx for the ultimate supply of </w:t>
      </w:r>
      <w:r>
        <w:rPr>
          <w:rFonts w:ascii="Times New Roman;Times;serif" w:hAnsi="Times New Roman;Times;serif"/>
          <w:sz w:val="15"/>
        </w:rPr>
        <w:t>212</w:t>
      </w:r>
      <w:r>
        <w:rPr>
          <w:rFonts w:ascii="Times New Roman;Times;serif" w:hAnsi="Times New Roman;Times;serif"/>
          <w:sz w:val="20"/>
        </w:rPr>
        <w:t xml:space="preserve">Pb and Eckert &amp; Ziegler for a range of radioisotopes, there are not many alternatives to these suppliers, and finding any replacement suppliers would divert management resources.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order to conduct clinical trials of product candidates, we will need to have them manufactured in potentially large quantities. Our third-party manufacturers may be unable to successfully increase the manufacturing capacity for any of our product candidates in a timely or cost-effective manner, or at all. In addition, quality issues may arise during scale-up activities and at any other time. For example, ongoing data on the stability of our product candidates may shorten the expiry of our product candidates and lead to clinical trial material supply shortages, and potentially clinical trial delays. Additionally, our manufacturers may experience delays as a result of impacts due to geopolitical risks,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including evolving impacts from tariffs, sanctions or other trade tensions between the United States and other countries, or demand or supply shocks from events such as major terrorist attacks, war, natural disasters or actual or threatened public health pandemics or other emergencies. For example, the United States has announced tariffs on many goods imported from specified nations, including China and those in the European Union. In addition, there are currently discussions concerning potential increased tariffs for pharmaceutical products, which may impact our supply chain and create uncertainty in the broader pharmaceutical industry. While certain tariffs have been suspended, modified or temporarily reduced, we cannot predict the results of the U.S. government’s trade negotiations or the outcome of ongoing legal challenges to specific tariff policies. If our third-party manufacturers are unable to successfully scale up the manufacture of our product candidates in sufficient quality and quantity, the development, testing and clinical trials of that product candidate may be delayed or infeasible, and regulatory approval or commercial launch of that product candidate may be delayed or not obtained, which could significantly harm our business.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use of new third-party manufacturers increases the risk of delays in production or insufficient supplies of our product candidates as we transfer our manufacturing technology to these manufacturers and as they gain experience manufacturing our product candidates. Even after a third-party manufacturer has gained significant experience in manufacturing our product candidates or even if we believe we have succeeded in optimizing the manufacturing process, there can be no assurance that such manufacturer will produce sufficient quantities of our product candidates in a timely manner or continuously over time, or at all.</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may be delayed if we need to change the manufacturing process used by a third party. Further, if we change an approved manufacturing process, then we may be delayed if the FDA or a comparable foreign authority needs to review the new manufacturing process before it may be used.</w:t>
      </w:r>
    </w:p>
    <w:p>
      <w:pPr>
        <w:pStyle w:val="TextBody"/>
        <w:bidi w:val="0"/>
        <w:spacing w:before="0" w:after="0"/>
        <w:ind w:left="0" w:right="0" w:hanging="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operate an outsourced model for the manufacture of our product candidates, and contract with cGMP licensed pharmaceutical contract development and manufacturing organizations. While we have engaged several third-party vendors to provide clinical and non-clinical supplies and fill-finish services, we do not currently have any agreements with third-party manufacturers for long-term commercial supplies. In the future, we may be unable to enter into agreements with third-party manufacturers for commercial supplies of any product candidate that we develop, or may be unable to do so on acceptable terms. Even if we are able to establish and maintain arrangements with third-party manufacturers, reliance on third-party manufacturers entails risks, including:</w:t>
      </w:r>
    </w:p>
    <w:p>
      <w:pPr>
        <w:pStyle w:val="TextBody"/>
        <w:bidi w:val="0"/>
        <w:spacing w:before="0" w:after="0"/>
        <w:ind w:left="0" w:right="0" w:hanging="0"/>
        <w:jc w:val="left"/>
        <w:rPr/>
      </w:pPr>
      <w:r>
        <w:rPr/>
        <w:t>​</w:t>
      </w:r>
    </w:p>
    <w:tbl>
      <w:tblPr>
        <w:tblW w:w="9486" w:type="dxa"/>
        <w:jc w:val="left"/>
        <w:tblInd w:w="0" w:type="dxa"/>
        <w:tblLayout w:type="fixed"/>
        <w:tblCellMar>
          <w:top w:w="28" w:type="dxa"/>
          <w:left w:w="28" w:type="dxa"/>
          <w:bottom w:w="28" w:type="dxa"/>
          <w:right w:w="28" w:type="dxa"/>
        </w:tblCellMar>
      </w:tblPr>
      <w:tblGrid>
        <w:gridCol w:w="124"/>
        <w:gridCol w:w="256"/>
        <w:gridCol w:w="9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reliance on third parties for manufacturing process development, regulatory compliance and quality assurance;</w:t>
            </w:r>
          </w:p>
        </w:tc>
      </w:tr>
    </w:tbl>
    <w:p>
      <w:pPr>
        <w:pStyle w:val="TextBody"/>
        <w:bidi w:val="0"/>
        <w:spacing w:before="0" w:after="0"/>
        <w:ind w:left="360" w:right="0" w:hanging="0"/>
        <w:jc w:val="left"/>
        <w:rPr/>
      </w:pPr>
      <w:r>
        <w:rPr/>
        <w:t>​</w:t>
      </w:r>
    </w:p>
    <w:tbl>
      <w:tblPr>
        <w:tblW w:w="8691" w:type="dxa"/>
        <w:jc w:val="left"/>
        <w:tblInd w:w="0" w:type="dxa"/>
        <w:tblLayout w:type="fixed"/>
        <w:tblCellMar>
          <w:top w:w="28" w:type="dxa"/>
          <w:left w:w="28" w:type="dxa"/>
          <w:bottom w:w="28" w:type="dxa"/>
          <w:right w:w="28" w:type="dxa"/>
        </w:tblCellMar>
      </w:tblPr>
      <w:tblGrid>
        <w:gridCol w:w="124"/>
        <w:gridCol w:w="256"/>
        <w:gridCol w:w="8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 on supply availability resulting from capacity and scheduling constraints of third parties;</w:t>
            </w:r>
          </w:p>
        </w:tc>
      </w:tr>
    </w:tbl>
    <w:p>
      <w:pPr>
        <w:pStyle w:val="TextBody"/>
        <w:bidi w:val="0"/>
        <w:spacing w:before="0" w:after="0"/>
        <w:ind w:left="360" w:right="0" w:hanging="0"/>
        <w:jc w:val="left"/>
        <w:rPr/>
      </w:pPr>
      <w:r>
        <w:rPr/>
        <w:t>​</w:t>
      </w:r>
    </w:p>
    <w:tbl>
      <w:tblPr>
        <w:tblW w:w="9261" w:type="dxa"/>
        <w:jc w:val="left"/>
        <w:tblInd w:w="0" w:type="dxa"/>
        <w:tblLayout w:type="fixed"/>
        <w:tblCellMar>
          <w:top w:w="28" w:type="dxa"/>
          <w:left w:w="28" w:type="dxa"/>
          <w:bottom w:w="28" w:type="dxa"/>
          <w:right w:w="28" w:type="dxa"/>
        </w:tblCellMar>
      </w:tblPr>
      <w:tblGrid>
        <w:gridCol w:w="124"/>
        <w:gridCol w:w="256"/>
        <w:gridCol w:w="88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possible breach of manufacturing agreements by third parties because of factors beyond our control;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possible termination or non-renewal of the manufacturing agreements by the third party, at a time that is costly or inconvenient to us.</w:t>
            </w:r>
          </w:p>
        </w:tc>
      </w:tr>
    </w:tbl>
    <w:p>
      <w:pPr>
        <w:pStyle w:val="TextBody"/>
        <w:bidi w:val="0"/>
        <w:spacing w:before="0" w:after="0"/>
        <w:ind w:left="72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Third-party manufacturers may not be able to comply with cGMP requirements or similar regulatory requirements outside the United States. Our failure, or the failure of our third-party manufacturers, to comply with applicable requirements could result in sanctions being imposed on us, including fines, injunctions, civil penalties, delays, suspension or withdrawal of approvals, license revocation, seizures or recalls of product candidates or products, operating restrictions and/or criminal prosecutions, any of which could significantly and adversely affect supplies of our product candidates. In addition, some of the product candidates we intend to develop, including nuzefatide pevedotin, use toxins or other substances that can be produced only in specialized facilities with specific authorizations and permits, and there can be no guarantee that we or our manufacturers can maintain such authorizations and permits. These specialized requirements may also limit the number of potential manufacturers that we can engage to produce our product candidates and impair any efforts to transition to replacement manufacturers.</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future product candidates and any products that we may develop may compete with other product candidates and products for access to manufacturing facilities. There are a limited number of manufacturers that operate under cGMP requirements that might be capable of manufacturing for us.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If the third parties that we engage to supply any materials or manufacture product for our preclinical tests and clinical trials should cease to continue to do so for any reason, including as a result of the impacts of public health crises on the global workforce and manufacturing operations, we likely would experience delays in advancing these tests and trials while we identify and qualify replacement suppliers or manufacturers and we may be unable to obtain replacement supplies on terms that are favorable to us. In addition, if we are not able to obtain adequate supplies of our product candidates or the substances used to manufacture them, it will be more difficult for us to develop our product candidates and compete effectively.</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current and anticipated future dependence upon others for the manufacture of our product candidates may adversely affect our future profit margins and our ability to develop product candidates and commercialize any products that receive marketing approval on a timely and competitive basis</w:t>
      </w:r>
      <w:r>
        <w:rPr>
          <w:rFonts w:ascii="Times New Roman;Times;serif" w:hAnsi="Times New Roman;Times;serif"/>
          <w:sz w:val="20"/>
          <w:shd w:fill="FFFFFF" w:val="clear"/>
        </w:rPr>
        <w:t>.</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Our reliance on third parties requires us to share our trade secrets</w:t>
      </w:r>
      <w:r>
        <w:rPr>
          <w:rFonts w:ascii="Times New Roman;Times;serif" w:hAnsi="Times New Roman;Times;serif"/>
          <w:i/>
          <w:sz w:val="20"/>
        </w:rPr>
        <w:t xml:space="preserve">, </w:t>
      </w:r>
      <w:r>
        <w:rPr>
          <w:rFonts w:ascii="Times New Roman;Times;serif" w:hAnsi="Times New Roman;Times;serif"/>
          <w:b/>
          <w:i/>
          <w:sz w:val="20"/>
        </w:rPr>
        <w:t>which increases the possibility that a competitor will discover them or that our trade secrets will be misappropriated or disclosed</w:t>
      </w:r>
      <w:r>
        <w:rPr>
          <w:rFonts w:ascii="Times New Roman;Times;serif" w:hAnsi="Times New Roman;Times;serif"/>
          <w:i/>
          <w:sz w:val="20"/>
        </w:rPr>
        <w: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Because we rely on third parties to manufacture our product candidates, and because we collaborate with various organizations and academic institutions on the development of our product candidates,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pStyle w:val="TextBody"/>
        <w:bidi w:val="0"/>
        <w:spacing w:before="0" w:after="0"/>
        <w:ind w:left="0" w:right="0" w:hanging="0"/>
        <w:jc w:val="left"/>
        <w:rPr/>
      </w:pPr>
      <w:r>
        <w:rPr/>
        <w:t>​</w:t>
      </w:r>
    </w:p>
    <w:p>
      <w:pPr>
        <w:pStyle w:val="TextBody"/>
        <w:shd w:fill="FFFFFF" w:val="clear"/>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 and have an adverse impact on our business.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Risks Related to Our Intellectual Property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If we are unable to obtain and maintain patent and other intellectual property protection for our products and product candidates</w:t>
      </w:r>
      <w:r>
        <w:rPr>
          <w:rFonts w:ascii="Times New Roman;Times;serif" w:hAnsi="Times New Roman;Times;serif"/>
          <w:i/>
          <w:sz w:val="20"/>
        </w:rPr>
        <w:t xml:space="preserve">, </w:t>
      </w:r>
      <w:r>
        <w:rPr>
          <w:rFonts w:ascii="Times New Roman;Times;serif" w:hAnsi="Times New Roman;Times;serif"/>
          <w:b/>
          <w:i/>
          <w:sz w:val="20"/>
        </w:rPr>
        <w:t>or if the scope of the patent and other intellectual property protection obtained is not sufficiently broad</w:t>
      </w:r>
      <w:r>
        <w:rPr>
          <w:rFonts w:ascii="Times New Roman;Times;serif" w:hAnsi="Times New Roman;Times;serif"/>
          <w:i/>
          <w:sz w:val="20"/>
        </w:rPr>
        <w:t xml:space="preserve">, </w:t>
      </w:r>
      <w:r>
        <w:rPr>
          <w:rFonts w:ascii="Times New Roman;Times;serif" w:hAnsi="Times New Roman;Times;serif"/>
          <w:b/>
          <w:i/>
          <w:sz w:val="20"/>
        </w:rPr>
        <w:t>our competitors could develop and commercialize products similar or identical to ours</w:t>
      </w:r>
      <w:r>
        <w:rPr>
          <w:rFonts w:ascii="Times New Roman;Times;serif" w:hAnsi="Times New Roman;Times;serif"/>
          <w:i/>
          <w:sz w:val="20"/>
        </w:rPr>
        <w:t xml:space="preserve">, </w:t>
      </w:r>
      <w:r>
        <w:rPr>
          <w:rFonts w:ascii="Times New Roman;Times;serif" w:hAnsi="Times New Roman;Times;serif"/>
          <w:b/>
          <w:i/>
          <w:sz w:val="20"/>
        </w:rPr>
        <w:t>and our ability to successfully commercialize our products and product candidates may be adversely affected</w:t>
      </w:r>
      <w:r>
        <w:rPr>
          <w:rFonts w:ascii="Times New Roman;Times;serif" w:hAnsi="Times New Roman;Times;serif"/>
          <w:i/>
          <w:sz w:val="20"/>
        </w:rPr>
        <w: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ability to compete effectively will depend, in part, on our ability to maintain the proprietary nature of our technology and manufacturing processes. We rely on research, manufacturing and other know-how, patents, trade secrets, license agreements and contractual provisions to establish our intellectual property rights and protect our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products and product candidates. These legal means, however, afford only limited protection and may not adequately protect our rights.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certain situations and as considered appropriate, we have sought, and we intend to continue to seek to protect our proprietary position by filing patent applications in the United States and, in at least some cases, one or more countries outside the United States relating to current and future products and product candidates that are important to our business. However, we cannot predict whether the patent applications currently being pursued will issue as patents, or whether the claims of any resulting patents will provide us with a competitive advantage or whether we will be able to successfully pursue patent applications in the future relating to our current or future products and product candidates. Moreover, the patent application and approval process is expensive and time-consuming. We may not be able to file and prosecute all necessary or desirable patent applications at a reasonable cost or in a timely manner. Furthermore, we, or any future partners, collaborators, or licensees, may fail to identify patentable aspects of inventions made in the course of development and commercialization activities before it is too late to obtain patent protection on them. Therefore, we may miss potential opportunities to seek additional patent protection. It is possible that defects of form in the preparation or filing of patent applications may exist, or may arise in the future, for example with respect to proper priority claims, inventorship, claim scope, or requests for patent term adjustments. If we fail to establish, maintain or protect such patents and other intellectual property rights, such rights may be reduced or eliminated. If there are material defects in the form, preparation, prosecution or enforcement of our patents or patent applications, such patents may be invalid and/or unenforceable, and such applications may never result in valid, enforceable patents.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Even if they are unchallenged, our patents and patent applications, if issued, may not provide us with any meaningful protection or prevent competitors from designing around our patent claims by developing similar or alternative technologies or therapeutics in a non-infringing manner. For example, a third party may develop a competitive therapy that provides benefits similar to one or more of our product candidates but that falls outside the scope of our patent protection. If the patent protection provided by the patents and patent applications we hold or pursue with respect to our product candidates is not sufficiently broad to impede such competition, our ability to successfully commercialize our product candidates could be negatively affected.</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Other parties, many of whom have substantially greater resources and have made significant investments in competing technologies, have developed or may develop technologies that may be related or competitive with our approach, and may have filed or may file patent applications and may have been issued or may be issued patents with claims that overlap or conflict with our patent applications, either by claiming the same compositions, formulations or methods or by claiming subject matter that could dominate our patent position. In addition, the laws of foreign countries may not protect our rights to the same extent as the laws of the United States. As a result, any patents we may obtain in the future may not provide us with adequate and continuing patent protection sufficient to exclude others from commercializing products similar to our products and product candidates.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patent position of biotechnology and pharmaceutical companies generally is highly uncertain. No consistent policy regarding the breadth of claims allowed in biotechnology and pharmaceutical patents has emerged to date in the United States or in many foreign jurisdictions. In addition, the determination of patent rights with respect to pharmaceutical compounds commonly involves complex legal and factual questions, which has in recent years been the subject of much litigation. As a result, the issuance, scope, validity, enforceability and commercial value of our patent rights are highly uncertain. Our competitors may also seek approval to market their own products similar to or otherwise competitive with our products. Alternatively, our competitors may seek to market generic versions of any approved products by submitting ANDAs to the FDA in which they claim that our patents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that our competitors are competing in a non-infringing manner. Thus, even if we have valid and enforceable patents, these patents still may not provide protection against competing products or processes sufficient to achieve our business objectives.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the future, one or more of our products and product candidates may be in-licensed from third parties. Accordingly, in some cases, the availability and scope of potential patent protection is limited based on prior decisions by our licensors or the inventors, such as decisions on when to file patent applications or whether to file patent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applications at all. Our failure to obtain, maintain, enforce or defend such intellectual property rights, for any reason, could allow third parties, in particular, other established and better financed competitors having established development, manufacturing and distribution capabilities, to make competing products or impact our ability to develop, manufacture and market our products and product candidates, even if approved, on a commercially viable basis, if at all, which could have a material adverse effect on our business.</w:t>
      </w:r>
    </w:p>
    <w:p>
      <w:pPr>
        <w:pStyle w:val="TextBody"/>
        <w:bidi w:val="0"/>
        <w:spacing w:before="0" w:after="0"/>
        <w:ind w:left="0" w:right="0" w:hanging="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also rely heavily on trade secrets, know-how and other unpatented technology, which are difficult to protect. Although we seek such protection in part by entering into confidentiality agreements with our vendors, employees, consultants and others who may have access to proprietary information, we cannot be certain that these agreements will not be breached, adequate remedies for any breach would be available, or our trade secrets, know-how and other unpatented proprietary technology will not otherwise become known to or be independently developed by our competitors. If we are unsuccessful in protecting our intellectual property rights, sales of our products may suffer and our ability to generate revenue could be severely impacted.</w:t>
      </w:r>
    </w:p>
    <w:p>
      <w:pPr>
        <w:pStyle w:val="TextBody"/>
        <w:shd w:fill="FFFFFF" w:val="clear"/>
        <w:bidi w:val="0"/>
        <w:spacing w:before="0" w:after="0"/>
        <w:ind w:left="0" w:right="0" w:firstLine="72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addition, our employees use generative AI technologies in certain circumstances to perform portions of their work. There can be no assurance that employees will not inadvertently or improperly input information that is proprietary, confidential or sensitive, including trade secrets, into AI systems in a manner that results in unauthorized disclosure or loss of confidentiality. Many generative AI tools are provided by third-party vendors, and we may have limited ability to control or verify how information submitted by employees is processed, stored, retained, or used by such providers, including whether such information may be incorporated into model training or otherwise accessed or disclosed. Any failure to adequately prevent the disclosure or misuse of our proprietary or confidential information, whether due to employee error, inadequate controls, evolving AI system functionality, or third-party practices, could result in the loss of trade secret protection and the disclosure of confidential information related to our inventions and product candidates, which could preclude us from obtaining patents covering disclosed inventions and product candidates, all of which could adversely affect our business.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Issued patents covering our products and product candidates could be found invalid or unenforceable if challenged in court or in administrative proceedings</w:t>
      </w:r>
      <w:r>
        <w:rPr>
          <w:rFonts w:ascii="Times New Roman;Times;serif" w:hAnsi="Times New Roman;Times;serif"/>
          <w:i/>
          <w:sz w:val="20"/>
        </w:rPr>
        <w:t xml:space="preserve">. </w:t>
      </w:r>
      <w:r>
        <w:rPr>
          <w:rFonts w:ascii="Times New Roman;Times;serif" w:hAnsi="Times New Roman;Times;serif"/>
          <w:b/>
          <w:i/>
          <w:sz w:val="20"/>
        </w:rPr>
        <w:t>We may not be able to protect our trade secrets in court</w:t>
      </w:r>
      <w:r>
        <w:rPr>
          <w:rFonts w:ascii="Times New Roman;Times;serif" w:hAnsi="Times New Roman;Times;serif"/>
          <w:i/>
          <w:sz w:val="20"/>
        </w:rPr>
        <w: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If we initiate legal proceedings against a third-party to enforce a patent covering one of our products or product candidates, should such a patent issue, the defendant could counterclaim that the patent covering our product or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written description or non-enablement. Grounds for an unenforceability assertion could be an allegation that someone connected with prosecution of the patent withheld information material to patentability from the United States Patent and Trademark Office (USPTO), or made a misleading statement, during prosecution. Third parties also may raise similar claims before administrative bodies in the United States or abroad, even outside the context of litigation. Such mechanisms include re-examination, post grant review, </w:t>
      </w:r>
      <w:r>
        <w:rPr>
          <w:rFonts w:ascii="Times New Roman;Times;serif" w:hAnsi="Times New Roman;Times;serif"/>
          <w:i/>
          <w:sz w:val="20"/>
        </w:rPr>
        <w:t>inter partes</w:t>
      </w:r>
      <w:r>
        <w:rPr>
          <w:rFonts w:ascii="Times New Roman;Times;serif" w:hAnsi="Times New Roman;Times;serif"/>
          <w:sz w:val="20"/>
        </w:rPr>
        <w:t xml:space="preserve"> review and equivalent proceedings in foreign jurisdictions. An adverse determination in any of the foregoing proceedings could result in the revocation or cancellation of, or amendment to, our patents in such a way that they no longer cover our products or product candidates. As an example of the foregoing risks, the validity of our European Patent No. 4464721 has been challenged by an opponent at the European Patent Office. Proceedings are ongoing, during which the patent may be maintained, narrowed or invalidated. The outcome following legal assertions of invalidity and unenforceability is unpredictable. With respect to the validity question, for example, we cannot be certain that there is no invalidating prior art, of which the patent examiner and we were unaware during prosecution. If a defendant or third party were to prevail on a legal assertion of invalidity or unenforceability, we could lose at least part, and perhaps all, of the patent protection on one or more of our products and product candidates. Such a loss of patent protection may materially harm our intellectual property estate, which would impair our ability to establish competitive barriers to entry in the form of intellectual property protections.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 difficult to protect and some courts inside and outside the United States are less willing or unwilling to protect trade secrets. We seek to protect our proprietary technology and processes, in part, by entering into confidentiality agreements with our employees, consultants, scientific advisors, and contractors. We cannot guarantee that we have entered into such agreements with each party that may have or have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addition, our trade secrets may otherwise become known or be independently discovered by competitors. Competitors and other third parties could purchase our products and product candidates and attempt to replicate some or all of the competitive advantages we derive from our development efforts, willfully infringe, misappropriate or otherwise violate our intellectual property rights, design around our protected technology or develop their own competitive technologies that fall outside of our intellectual property rights. If any of our trade secrets were to be lawfully obtained or independently developed by a competitor or other third party, we would have no right to prevent them, or those to whom they communicate it, from using that technology or information to compete with us. If our trade secrets are not adequately protected or sufficient to provide an advantage over our competitors, our competitive position could be adversely affected, as could our business. Additionally, if the steps taken to maintain our trade secrets are deemed inadequate, we may have insufficient recourse against third parties for misappropriating our trade secrets</w:t>
      </w:r>
      <w:r>
        <w:rPr>
          <w:rFonts w:ascii="Times New Roman;Times;serif" w:hAnsi="Times New Roman;Times;serif"/>
          <w:sz w:val="20"/>
          <w:shd w:fill="FFFFFF" w:val="clear"/>
        </w:rPr>
        <w:t>.</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We may be subject to claims challenging the inventorship or ownership of the patents and other intellectual property</w:t>
      </w:r>
      <w:r>
        <w:rPr>
          <w:rFonts w:ascii="Times New Roman;Times;serif" w:hAnsi="Times New Roman;Times;serif"/>
          <w:i/>
          <w:sz w:val="20"/>
        </w:rPr>
        <w: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may be subject to claims that former employees, collaborators or other third parties have an ownership interest in the patents and intellectual property that we own or that we may own or license in the future.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or such assignments may not be self-executing or may be breached. We could be subject to ownership disputes arising, for example, from conflicting obligations of employees, consultants or others who are involved in developing our products or product candidates. Litigation may be necessary to defend against any claims challenging inventorship or ownership. If we fail in defending any such claims, we may have to pay monetary damages and may lose valuable intellectual property rights, such as exclusive ownership of, or right to use, intellectual property, which could adversely impact our business, results of operations and financial condition</w:t>
      </w:r>
      <w:r>
        <w:rPr>
          <w:rFonts w:ascii="Times New Roman;Times;serif" w:hAnsi="Times New Roman;Times;serif"/>
          <w:sz w:val="20"/>
          <w:shd w:fill="FFFFFF" w:val="clear"/>
        </w:rPr>
        <w:t>.</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Obtaining and maintaining patent protection depends on compliance with various procedural</w:t>
      </w:r>
      <w:r>
        <w:rPr>
          <w:rFonts w:ascii="Times New Roman;Times;serif" w:hAnsi="Times New Roman;Times;serif"/>
          <w:i/>
          <w:sz w:val="20"/>
        </w:rPr>
        <w:t xml:space="preserve">, </w:t>
      </w:r>
      <w:r>
        <w:rPr>
          <w:rFonts w:ascii="Times New Roman;Times;serif" w:hAnsi="Times New Roman;Times;serif"/>
          <w:b/>
          <w:i/>
          <w:sz w:val="20"/>
        </w:rPr>
        <w:t>document submission</w:t>
      </w:r>
      <w:r>
        <w:rPr>
          <w:rFonts w:ascii="Times New Roman;Times;serif" w:hAnsi="Times New Roman;Times;serif"/>
          <w:i/>
          <w:sz w:val="20"/>
        </w:rPr>
        <w:t xml:space="preserve">, </w:t>
      </w:r>
      <w:r>
        <w:rPr>
          <w:rFonts w:ascii="Times New Roman;Times;serif" w:hAnsi="Times New Roman;Times;serif"/>
          <w:b/>
          <w:i/>
          <w:sz w:val="20"/>
        </w:rPr>
        <w:t>fee payment and other requirements imposed by governmental patent agencies</w:t>
      </w:r>
      <w:r>
        <w:rPr>
          <w:rFonts w:ascii="Times New Roman;Times;serif" w:hAnsi="Times New Roman;Times;serif"/>
          <w:i/>
          <w:sz w:val="20"/>
        </w:rPr>
        <w:t xml:space="preserve">, </w:t>
      </w:r>
      <w:r>
        <w:rPr>
          <w:rFonts w:ascii="Times New Roman;Times;serif" w:hAnsi="Times New Roman;Times;serif"/>
          <w:b/>
          <w:i/>
          <w:sz w:val="20"/>
        </w:rPr>
        <w:t>and our patent protection could be reduced or eliminated for non-compliance with these requirements</w:t>
      </w:r>
      <w:r>
        <w:rPr>
          <w:rFonts w:ascii="Times New Roman;Times;serif" w:hAnsi="Times New Roman;Times;serif"/>
          <w:i/>
          <w:sz w:val="20"/>
        </w:rPr>
        <w: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Periodic maintenance fees, renewal fees, annuity fees and various other governmental fees on patents and applications are required to be paid to the USPTO and various governmental patent agencies outside of the United States in several stages over the lifetime of the patents and applications. The USPTO and various non-U.S. governmental patent agencies require compliance with a number of procedural, documentary, fee payment and other similar provisions during the patent application process and after a patent has issued. There are situations in which non-compliance can result in abandonment or lapse of the patent or patent application, resulting in partial or complete loss of patent rights in the relevant jurisdiction. The terms of one or more licenses that we enter into the future may not provide us with the ability to maintain or prosecute patents in the portfolio, and must therefore rely on third parties to do so</w:t>
      </w:r>
      <w:r>
        <w:rPr>
          <w:rFonts w:ascii="Times New Roman;Times;serif" w:hAnsi="Times New Roman;Times;serif"/>
          <w:sz w:val="20"/>
          <w:shd w:fill="FFFFFF" w:val="clear"/>
        </w:rPr>
        <w:t>.</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If we do not obtain patent term extension and data exclusivity for our products and product candidates</w:t>
      </w:r>
      <w:r>
        <w:rPr>
          <w:rFonts w:ascii="Times New Roman;Times;serif" w:hAnsi="Times New Roman;Times;serif"/>
          <w:i/>
          <w:sz w:val="20"/>
        </w:rPr>
        <w:t xml:space="preserve">, </w:t>
      </w:r>
      <w:r>
        <w:rPr>
          <w:rFonts w:ascii="Times New Roman;Times;serif" w:hAnsi="Times New Roman;Times;serif"/>
          <w:b/>
          <w:i/>
          <w:sz w:val="20"/>
        </w:rPr>
        <w:t>our business may be materially harmed</w:t>
      </w:r>
      <w:r>
        <w:rPr>
          <w:rFonts w:ascii="Times New Roman;Times;serif" w:hAnsi="Times New Roman;Times;serif"/>
          <w:i/>
          <w:sz w:val="20"/>
        </w:rPr>
        <w: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for a product candidate, we may be open to competition from competitive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the future, if we obtain an issued patent covering one of our present or future product candidates, depending upon the timing, duration and specifics of any FDA marketing approval of such product candidates, such patent may be eligible for limited patent term extension under the Drug Price Competition and Patent Term Restoration Act of 1984, or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A patent may only be extended once and only based on a single approved product. However, we may not be granted an extension because of, for example, failure to obtain a granted patent before approval of a product candidate, failure to exercise due diligence during the testing phase or regulatory review process, failure to apply within applicable deadlines, failure to apply prior to expiration of relevant patents or otherwise our failure to satisfy applicable requirements. A patent licensed to us by a third party may not be available for patent term extension.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revenue could be reduced, possibly materially.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Changes in patent law in the United States and other jurisdictions could diminish the value of patents in general</w:t>
      </w:r>
      <w:r>
        <w:rPr>
          <w:rFonts w:ascii="Times New Roman;Times;serif" w:hAnsi="Times New Roman;Times;serif"/>
          <w:i/>
          <w:sz w:val="20"/>
        </w:rPr>
        <w:t xml:space="preserve">, </w:t>
      </w:r>
      <w:r>
        <w:rPr>
          <w:rFonts w:ascii="Times New Roman;Times;serif" w:hAnsi="Times New Roman;Times;serif"/>
          <w:b/>
          <w:i/>
          <w:sz w:val="20"/>
        </w:rPr>
        <w:t>thereby impairing our ability to protect our products and product candidates</w:t>
      </w:r>
      <w:r>
        <w:rPr>
          <w:rFonts w:ascii="Times New Roman;Times;serif" w:hAnsi="Times New Roman;Times;serif"/>
          <w:i/>
          <w:sz w:val="20"/>
        </w:rPr>
        <w: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patent positions of companies in development and commercialization of biologics and pharmaceuticals are uncertain. Changes in either the patent laws or the interpretation of the patent laws in the United States or other jurisdictions could further increase the uncertainties and costs surrounding the prosecution of patent applications and the enforcement or defense of issued patents. For example, recent rulings from the U.S. Court of Appeals for the Federal Circuit and the U.S. Supreme Court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cannot provide assurance that our efforts to seek patent protection for one or more of our products and product candidates will not be negatively impacted by the decisions described above, rulings in other cases or changes in guidance or procedures issued by the USPTO. We cannot fully predict what impact courts’ decisions in historical and future cases may have on the ability of life science companies to obtain or enforce patents relating to their products in the future. These decisions, the guidance issued by the USPTO and rulings in other cases or changes in USPTO guidance or procedures could have a material adverse effect on our existing patent rights and our ability to protect and enforce our intellectual property in the future</w:t>
      </w:r>
      <w:r>
        <w:rPr>
          <w:rFonts w:ascii="Times New Roman;Times;serif" w:hAnsi="Times New Roman;Times;serif"/>
          <w:sz w:val="20"/>
          <w:shd w:fill="FFFFFF" w:val="clea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We may not be able to protect our intellectual property rights throughout the world</w:t>
      </w:r>
      <w:r>
        <w:rPr>
          <w:rFonts w:ascii="Times New Roman;Times;serif" w:hAnsi="Times New Roman;Times;serif"/>
          <w:i/>
          <w:sz w:val="20"/>
        </w:rPr>
        <w: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Filing, prosecuting, maintaining, defending and enforcing patents on products and product candidates in all countries throughout the world would be prohibitively expensive, and our intellectual property rights in some countries outside the United States could be less extensive than those in the United States. The requirements for patentability may differ in certain countries, particularly in developing countries; thus, even in countries where we do pursue patent protection, there can be no assurance that any patents will issue with claims that cover our products. There can be no assurance that we will obtain or maintain patent rights in or outside the United States under any future license agreements.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even in jurisdictions where we pursue patent protection, or from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or importing products made using our inventions in and into the United States or other jurisdictions. Competitors may use our technologies in jurisdictions where we have not pursued and obtained patent protection to develop their own products and, further, may export otherwise infringing products to territories where we have patent protection, but enforcement is not as strong as that in the United States. These products may compete with our products and product candidates and our patents or other intellectual property rights may not be effective or sufficient to prevent them from competing.</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and pharmaceutical products, which could make it difficult for us to stop the infringement of our patents or marketing of competing products in violation of our proprietary rights generally. For example, many foreign countries have compulsory licensing laws under which a patent owner must grant licenses to third parties. Proceedings to enforce our patent rights, even if obtained,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While we intend to protect our intellectual property rights in major markets for our products, we cannot ensure that we will be able to initiate or maintain similar efforts in all jurisdictions in which we may wish to market our products. Accordingly, our efforts to enforce our intellectual property rights around the world may be inadequate to obtain a significant commercial advantage from the intellectual property that we develop</w:t>
      </w:r>
      <w:r>
        <w:rPr>
          <w:rFonts w:ascii="Times New Roman;Times;serif" w:hAnsi="Times New Roman;Times;serif"/>
          <w:sz w:val="20"/>
          <w:shd w:fill="FFFFFF" w:val="clear"/>
        </w:rPr>
        <w:t>.</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If we are sued for infringing intellectual property rights of third parties</w:t>
      </w:r>
      <w:r>
        <w:rPr>
          <w:rFonts w:ascii="Times New Roman;Times;serif" w:hAnsi="Times New Roman;Times;serif"/>
          <w:i/>
          <w:sz w:val="20"/>
        </w:rPr>
        <w:t xml:space="preserve">, </w:t>
      </w:r>
      <w:r>
        <w:rPr>
          <w:rFonts w:ascii="Times New Roman;Times;serif" w:hAnsi="Times New Roman;Times;serif"/>
          <w:b/>
          <w:i/>
          <w:sz w:val="20"/>
        </w:rPr>
        <w:t>such litigation could be costly and time consuming and could prevent or delay us from developing or commercializing our product candidates</w:t>
      </w:r>
      <w:r>
        <w:rPr>
          <w:rFonts w:ascii="Times New Roman;Times;serif" w:hAnsi="Times New Roman;Times;serif"/>
          <w:i/>
          <w:sz w:val="20"/>
        </w:rPr>
        <w: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commercial success depends, in part, on our ability to develop, manufacture, market and sell our product candidates without infringing the intellectual property and other proprietary rights of third parties. Third parties may have U.S. and non-U.S. issued patents and pending patent applications relating to compounds, methods of manufacturing compounds and/or methods of use for the treatment of the disease indications for which we are developing our product candidates. If any third-party patents or patent applications are found to cover our product candidates or their methods of use or manufacture, we and our collaborators or sublicensees may not be free to manufacture or market our product candidates as planned without obtaining a license, which may not be available on commercially reasonable terms, or at all. We may also be required to indemnify our collaborators or sublicensees in such an event.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There is a substantial amount of intellectual property litigation in the biotechnology and pharmaceutical industries, and we were previously party to protracted litigation with Pepscan, which we settled in 2020. We may become party to, or be threatened with, litigation or other adversarial proceedings regarding intellectual property rights with respect to our products candidates, including interference and post-grant proceedings before the USPTO. There may be third-party patents or patent applications with claims to materials, formulations, methods of manufacture or methods for treatment related to the composition, use or manufacture of our product candidates. We cannot guarantee that any of our patent searches or analyses including, but not limited to, the identification of relevant patents, the scope of patent claims or the expiration of relevant patents are complete or thorough, nor can we be certain that we have identified each and every patent and pending application in the United States and abroad that is relevant to or necessary for the commercialization of our product candidates in any jurisdiction. Because patent applications can take many years to issue, there may be currently pending patent applications which may later result in issued patents that our product candidates may be accused of infringing. In addition, third parties may obtain patents in the future and claim that use of our technologies infringes upon these patents. Accordingly, third parties may assert infringement claims against us based on intellectual property rights that exist now or arise in the future. The outcome of intellectual property litigation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use or manufacture. The scope of protection afforded by a patent is subject to interpretation by the courts, and the interpretation is not always uniform. If we were sued for patent infringement, we would need to demonstrate that our product candidates, products or methods either do not infringe the patent claims of the relevant patent or that the patent claims are invalid or unenforceable, and we may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 be able to do this.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significantly harm our business and operating results. In addition, we may not have sufficient resources to bring these actions to a successful conclusion.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If we are found to infringe a third party’s intellectual property rights,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or product. However, we may not be able to obtain any required license on commercially reasonable terms or at all. Even if we were able to obtain a license, it could be non-exclusive, thereby giving our competitors access to the same technologies licensed to us; alternatively or additionally, it could include terms that impede or destroy our ability to compete successfully in the commercial marketplace.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harm our business. Claims that we have misappropriated the confidential information or trade secrets of third parties could have a similar negative impact on our business</w:t>
      </w:r>
      <w:r>
        <w:rPr>
          <w:rFonts w:ascii="Times New Roman;Times;serif" w:hAnsi="Times New Roman;Times;serif"/>
          <w:sz w:val="20"/>
          <w:shd w:fill="FFFFFF" w:val="clear"/>
        </w:rPr>
        <w:t>.</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We may be subject to claims by third parties asserting that our employees or we have misappropriated their intellectual property</w:t>
      </w:r>
      <w:r>
        <w:rPr>
          <w:rFonts w:ascii="Times New Roman;Times;serif" w:hAnsi="Times New Roman;Times;serif"/>
          <w:i/>
          <w:sz w:val="20"/>
        </w:rPr>
        <w:t xml:space="preserve">, </w:t>
      </w:r>
      <w:r>
        <w:rPr>
          <w:rFonts w:ascii="Times New Roman;Times;serif" w:hAnsi="Times New Roman;Times;serif"/>
          <w:b/>
          <w:i/>
          <w:sz w:val="20"/>
        </w:rPr>
        <w:t>or claiming ownership of what we regard as our own intellectual property</w:t>
      </w:r>
      <w:r>
        <w:rPr>
          <w:rFonts w:ascii="Times New Roman;Times;serif" w:hAnsi="Times New Roman;Times;serif"/>
          <w:i/>
          <w:sz w:val="20"/>
        </w:rPr>
        <w: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Many of our current and former employees, including our senior management, were previously employed at universities or at other biotechnology or pharmaceutical companies, including some which may be competitors or potential competitors. Some of these employees may be subject to proprietary rights, non-disclosure and non-competition agreements, or similar agreements, in connection with such previous employment. Although we try to ensure that our employees do not use the proprietary information or know-how of others in their work for us, we have been in the past and may be subject in the future to claims that we or these employees have used or disclosed intellectual property, including trade secrets or other proprietary information, of any such third party. Litigation may be necessary to defend against such claims. If we fail in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are successful in defending against such claims, litigation could result in substantial costs and be a distraction to management.</w:t>
      </w:r>
    </w:p>
    <w:p>
      <w:pPr>
        <w:pStyle w:val="TextBody"/>
        <w:bidi w:val="0"/>
        <w:spacing w:before="0" w:after="0"/>
        <w:ind w:left="0" w:right="0" w:hanging="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senior management and scientific personnel.</w:t>
      </w:r>
    </w:p>
    <w:p>
      <w:pPr>
        <w:pStyle w:val="TextBody"/>
        <w:shd w:fill="FFFFFF" w:val="clear"/>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We may become involved in lawsuits to protect or enforce our patents and other intellectual property rights</w:t>
      </w:r>
      <w:r>
        <w:rPr>
          <w:rFonts w:ascii="Times New Roman;Times;serif" w:hAnsi="Times New Roman;Times;serif"/>
          <w:i/>
          <w:sz w:val="20"/>
        </w:rPr>
        <w:t xml:space="preserve">, </w:t>
      </w:r>
      <w:r>
        <w:rPr>
          <w:rFonts w:ascii="Times New Roman;Times;serif" w:hAnsi="Times New Roman;Times;serif"/>
          <w:b/>
          <w:i/>
          <w:sz w:val="20"/>
        </w:rPr>
        <w:t>which could be expensive</w:t>
      </w:r>
      <w:r>
        <w:rPr>
          <w:rFonts w:ascii="Times New Roman;Times;serif" w:hAnsi="Times New Roman;Times;serif"/>
          <w:i/>
          <w:sz w:val="20"/>
        </w:rPr>
        <w:t xml:space="preserve">, </w:t>
      </w:r>
      <w:r>
        <w:rPr>
          <w:rFonts w:ascii="Times New Roman;Times;serif" w:hAnsi="Times New Roman;Times;serif"/>
          <w:b/>
          <w:i/>
          <w:sz w:val="20"/>
        </w:rPr>
        <w:t>time-consuming and unsuccessful</w:t>
      </w:r>
      <w:r>
        <w:rPr>
          <w:rFonts w:ascii="Times New Roman;Times;serif" w:hAnsi="Times New Roman;Times;serif"/>
          <w:i/>
          <w:sz w:val="20"/>
        </w:rPr>
        <w: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Competitors may infringe our patents, trademarks, copyrights or other intellectual property. To counter infringement or unauthorized use, we may be required to file infringement claims, which can be expensive and time consuming and divert the time and attention of our management and scientific personnel. In addition, our patents may become involved in inventorship, priority, or validity disputes. To counter or defend against such claims can be expensive and time-consuming, and our adversaries may have the ability to dedicate substantially greater resources to prosecuting these legal actions than we can. Any claims we assert against perceived infringers could provoke these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parties to assert counterclaims against us alleging that we infringe their patents, in addition to counterclaims asserting that our patents are invalid or unenforceable, or both.</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an infringement proceeding, a court may decide that a patent is invalid or unenforceable, or may refuse to stop the other party from using the technology at issue on the grounds that our patents do not cover the technology in question. Accordingly, despite our efforts, we may not be able to prevent third parties from infringing upon or misappropriating intellectual property rights we own or control. An adverse result in any litigation proceeding could put one or more of our owned or in-licensed patents at risk of being invalidated or interpreted narrowly. Further, because of the substantial amount of discovery required in connection with intellectual property litigation, there is a risk that some of our confidential information could be compromised by disclosure during this type of litigation.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Even if resolved in our favor, the court may decide not to grant an injunction against further infringing activity and instead award only monetary damages, which may or may not be an adequate remedy.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ADSs. Such litigation or proceedings could substantially increase our operating losses and reduce the resources available for development activities or any future sales, marketing, or distribution activities.</w:t>
      </w:r>
    </w:p>
    <w:p>
      <w:pPr>
        <w:pStyle w:val="TextBody"/>
        <w:bidi w:val="0"/>
        <w:spacing w:before="0" w:after="0"/>
        <w:ind w:left="0" w:right="0" w:hanging="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If we fail to comply with our obligations under any future intellectual property licenses with third parties</w:t>
      </w:r>
      <w:r>
        <w:rPr>
          <w:rFonts w:ascii="Times New Roman;Times;serif" w:hAnsi="Times New Roman;Times;serif"/>
          <w:i/>
          <w:sz w:val="20"/>
        </w:rPr>
        <w:t xml:space="preserve">, </w:t>
      </w:r>
      <w:r>
        <w:rPr>
          <w:rFonts w:ascii="Times New Roman;Times;serif" w:hAnsi="Times New Roman;Times;serif"/>
          <w:b/>
          <w:i/>
          <w:sz w:val="20"/>
        </w:rPr>
        <w:t>we could lose license rights that are important to our business</w:t>
      </w:r>
      <w:r>
        <w:rPr>
          <w:rFonts w:ascii="Times New Roman;Times;serif" w:hAnsi="Times New Roman;Times;serif"/>
          <w:i/>
          <w:sz w:val="20"/>
        </w:rPr>
        <w:t>.</w:t>
      </w:r>
    </w:p>
    <w:p>
      <w:pPr>
        <w:pStyle w:val="TextBody"/>
        <w:bidi w:val="0"/>
        <w:spacing w:before="0" w:after="0"/>
        <w:ind w:left="0" w:right="0" w:hanging="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connection with our efforts to build our product candidate pipeline, we may enter into license agreements in the future. We expect that such license agreements will impose various diligence, milestone payment, royalty, insurance and other obligations on us. If we fail to comply with our obligations under these licenses, our licensors may have the right to terminate these license agreements, in which event we might not be able to market any product that is covered by these agreements, or our licensors may convert the license to a non-exclusive license, which could negatively impact the value of the product candidate being developed under the license agreement. Termination of these license agreements or reduction or elimination of our licensed rights may also result in our having to negotiate new or reinstated licenses with less favorable terms.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If our trademarks and trade names are not adequately protected</w:t>
      </w:r>
      <w:r>
        <w:rPr>
          <w:rFonts w:ascii="Times New Roman;Times;serif" w:hAnsi="Times New Roman;Times;serif"/>
          <w:i/>
          <w:sz w:val="20"/>
        </w:rPr>
        <w:t xml:space="preserve">, </w:t>
      </w:r>
      <w:r>
        <w:rPr>
          <w:rFonts w:ascii="Times New Roman;Times;serif" w:hAnsi="Times New Roman;Times;serif"/>
          <w:b/>
          <w:i/>
          <w:sz w:val="20"/>
        </w:rPr>
        <w:t>then we may not be able to build name recognition in our marks of interest and our business may be adversely affected</w:t>
      </w:r>
      <w:r>
        <w:rPr>
          <w:rFonts w:ascii="Times New Roman;Times;serif" w:hAnsi="Times New Roman;Times;serif"/>
          <w:i/>
          <w:sz w:val="20"/>
        </w:rPr>
        <w: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trademarks or trade names may be challenged, infringed, circumvented or declared invalid, generic or determined to be infringing on other marks. We rely on both registration and common law protection for our trademarks.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objections. Although we would be given an opportunity to respond to those objections, we may be unable to overcome such objections.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addition, in the USPTO and in comparable Intellectual Property Offices in many foreign jurisdictions, third parties are given an opportunity to oppose pending trademark applications and to seek to cancel registered trademarks. Opposition or cancellation proceedings have been and may in the future be filed against our trademarks, and our trademarks may not survive such proceedings. For example, our U.K. trademark application for “TICA” was successfully opposed in the U.K., Japan and the EU for the majority of goods and services for which we originally applied, and we have abandoned our trademark application for “TICA” in the United States as a result. If we are unable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 establish name recognition based on our trademarks and trade names, we may not be able to compete effectively and our business may be adversely affected</w:t>
      </w:r>
      <w:r>
        <w:rPr>
          <w:rFonts w:ascii="Times New Roman;Times;serif" w:hAnsi="Times New Roman;Times;serif"/>
          <w:sz w:val="20"/>
          <w:shd w:fill="FFFFFF" w:val="clear"/>
        </w:rPr>
        <w:t>.</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Risks Related to Employee Matters and Managing Growth</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Our recent workforce reductions were undertaken to significantly reduce our ongoing operating expenses, but they may not result in our intended outcomes and may yield unintended consequences and additional costs</w:t>
      </w:r>
      <w:r>
        <w:rPr>
          <w:rFonts w:ascii="Times New Roman;Times;serif" w:hAnsi="Times New Roman;Times;serif"/>
          <w:i/>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August 2025, we announced cost reduction initiatives that are expected to reduce planned operating costs, primarily through a workforce reduction. T</w:t>
      </w:r>
      <w:r>
        <w:rPr>
          <w:rFonts w:ascii="Times New Roman;Times;serif" w:hAnsi="Times New Roman;Times;serif"/>
          <w:sz w:val="20"/>
          <w:shd w:fill="FFFFFF" w:val="clear"/>
        </w:rPr>
        <w:t xml:space="preserve">his workforce reduction was substantially completed in the fourth quarter of 2025. </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shd w:fill="FFFFFF" w:val="clear"/>
        </w:rPr>
        <w:t xml:space="preserve">In addition, </w:t>
      </w:r>
      <w:r>
        <w:rPr>
          <w:rFonts w:ascii="Times New Roman;Times;serif" w:hAnsi="Times New Roman;Times;serif"/>
          <w:sz w:val="20"/>
        </w:rPr>
        <w:t>in conjunction with our strategic reprioritization announced in March 2026, we announced a workforce reduction of approximately 30% of our workforce. Together, the workforce reduction and strategic reprioritization are expected to reduce our annual operating expenses by approximately 50% based on our current plans. We expect this workforce reduction to be substantially completed by the end of 2026, and that we will incur aggregate charges, representing cash expenditure for severance and other employee termination benefits, of approximately $6.5 million.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These recent workforce reductions may result in unintended consequences and costs, such as the loss of institutional knowledge and expertise, attrition beyond the intended number of employees, decreased morale among our remaining employees, and the risk that we may not achieve the anticipated benefits of the workforce reductions. In addition, we may be unsuccessful in distributing the duties and obligations of departed employees among our remaining employees or to contractors or other partners. The workforce reductions could also make it difficult for us to pursue, or prevent us from pursuing, new opportunities and initiatives due to insufficient personnel, or require us to incur additional and unanticipated costs to hire new personnel to pursue such opportunities or initiatives. Further, inflationary pressure may increase our costs, including employee compensation costs, or result in employee attrition to the extent our compensation does not keep up with inflation, particularly if our competitors’ compensation does. If we are unable to realize the anticipated benefits from the workforce reductions, if we experience significant adverse consequences from the workforce reductions, or if we are otherwise unable to retain our employees, our business, financial condition, and results of operations may be materially adversely affected.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Our future success depends on our ability to retain key employees</w:t>
      </w:r>
      <w:r>
        <w:rPr>
          <w:rFonts w:ascii="Times New Roman;Times;serif" w:hAnsi="Times New Roman;Times;serif"/>
          <w:i/>
          <w:sz w:val="20"/>
        </w:rPr>
        <w:t xml:space="preserve">, </w:t>
      </w:r>
      <w:r>
        <w:rPr>
          <w:rFonts w:ascii="Times New Roman;Times;serif" w:hAnsi="Times New Roman;Times;serif"/>
          <w:b/>
          <w:i/>
          <w:sz w:val="20"/>
        </w:rPr>
        <w:t>consultants and advisors and to attract</w:t>
      </w:r>
      <w:r>
        <w:rPr>
          <w:rFonts w:ascii="Times New Roman;Times;serif" w:hAnsi="Times New Roman;Times;serif"/>
          <w:i/>
          <w:sz w:val="20"/>
        </w:rPr>
        <w:t xml:space="preserve">, </w:t>
      </w:r>
      <w:r>
        <w:rPr>
          <w:rFonts w:ascii="Times New Roman;Times;serif" w:hAnsi="Times New Roman;Times;serif"/>
          <w:b/>
          <w:i/>
          <w:sz w:val="20"/>
        </w:rPr>
        <w:t>retain and motivate qualified personnel</w:t>
      </w:r>
      <w:r>
        <w:rPr>
          <w:rFonts w:ascii="Times New Roman;Times;serif" w:hAnsi="Times New Roman;Times;serif"/>
          <w:i/>
          <w:sz w:val="20"/>
        </w:rPr>
        <w: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are highly dependent on principal members of our executive team and key employees, the loss of whose services may adversely impact the achievement of our objectives. While we have entered into employment agreements with each of our executive officers, any of them could leave our employment at any time. We do not maintain “key person” insurance policies on the lives of these individuals or the lives of any of our other employees. The loss of the services of one or more of our current key employees might impede the achievement of our research, development and commercialization objectives. Furthermore, replacing executive officers or other key employees may be difficult and may take an extended period of time because of the limited number of individuals in our industry with the breadth of skills and experience required to develop, gain marketing approval of and commercialize products successfully.</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Recruiting and retaining other qualified employees, consultants and advisors for our business, including scientific and technical personnel, will also be critical to our success. There is currently a shortage of skilled executives and personnel in our industry, which is likely to continue. As a result, competition for skilled personnel is intense and the turnover rate can be high. We may not be able to attract and retain personnel on acceptable terms given the competition among numerous pharmaceutical and biotechnology companies for individuals with similar skill sets. In addition, failure to succeed in preclinical or clinical trials may make it more challenging to recruit and retain qualified personnel.</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addition, we rely on consultants and advisors, including scientific and clinical advisors, to assist us in formulating our research and development and commercialization strategy. Our consultants and advisors may be employed by other entities and may have commitments under consulting or advisory contracts with those entities that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limit their availability to us. If we are unable to continue to attract and retain highly qualified personnel, our ability to develop and commercialize our product candidates will be limited.</w:t>
      </w:r>
    </w:p>
    <w:p>
      <w:pPr>
        <w:pStyle w:val="TextBody"/>
        <w:bidi w:val="0"/>
        <w:spacing w:before="0" w:after="0"/>
        <w:ind w:left="0" w:right="0" w:hanging="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Particularly in light of our recent workforce reductions, we may find it difficult to maintain valuable aspects of our culture, to prevent a negative effect on employee morale or attrition beyond our planned reduction in headcount, and to attract and retain competent personnel. If we are not able to continue to retain, on acceptable terms, the qualified personnel necessary for the continued operation of our business, we may not be able to sustain our operations. The inability to recruit or the loss of the services of any executive, key employee, consultant or advisor may impede the progress of our research, development and commercialization objectives.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Our employees</w:t>
      </w:r>
      <w:r>
        <w:rPr>
          <w:rFonts w:ascii="Times New Roman;Times;serif" w:hAnsi="Times New Roman;Times;serif"/>
          <w:i/>
          <w:sz w:val="20"/>
        </w:rPr>
        <w:t xml:space="preserve">, </w:t>
      </w:r>
      <w:r>
        <w:rPr>
          <w:rFonts w:ascii="Times New Roman;Times;serif" w:hAnsi="Times New Roman;Times;serif"/>
          <w:b/>
          <w:i/>
          <w:sz w:val="20"/>
        </w:rPr>
        <w:t>independent contractors</w:t>
      </w:r>
      <w:r>
        <w:rPr>
          <w:rFonts w:ascii="Times New Roman;Times;serif" w:hAnsi="Times New Roman;Times;serif"/>
          <w:i/>
          <w:sz w:val="20"/>
        </w:rPr>
        <w:t xml:space="preserve">, </w:t>
      </w:r>
      <w:r>
        <w:rPr>
          <w:rFonts w:ascii="Times New Roman;Times;serif" w:hAnsi="Times New Roman;Times;serif"/>
          <w:b/>
          <w:i/>
          <w:sz w:val="20"/>
        </w:rPr>
        <w:t>consultants</w:t>
      </w:r>
      <w:r>
        <w:rPr>
          <w:rFonts w:ascii="Times New Roman;Times;serif" w:hAnsi="Times New Roman;Times;serif"/>
          <w:i/>
          <w:sz w:val="20"/>
        </w:rPr>
        <w:t xml:space="preserve">, </w:t>
      </w:r>
      <w:r>
        <w:rPr>
          <w:rFonts w:ascii="Times New Roman;Times;serif" w:hAnsi="Times New Roman;Times;serif"/>
          <w:b/>
          <w:i/>
          <w:sz w:val="20"/>
        </w:rPr>
        <w:t>collaborators and CROs may engage in misconduct or other improper activities</w:t>
      </w:r>
      <w:r>
        <w:rPr>
          <w:rFonts w:ascii="Times New Roman;Times;serif" w:hAnsi="Times New Roman;Times;serif"/>
          <w:i/>
          <w:sz w:val="20"/>
        </w:rPr>
        <w:t xml:space="preserve">, </w:t>
      </w:r>
      <w:r>
        <w:rPr>
          <w:rFonts w:ascii="Times New Roman;Times;serif" w:hAnsi="Times New Roman;Times;serif"/>
          <w:b/>
          <w:i/>
          <w:sz w:val="20"/>
        </w:rPr>
        <w:t>including non-compliance with regulatory standards and requirements</w:t>
      </w:r>
      <w:r>
        <w:rPr>
          <w:rFonts w:ascii="Times New Roman;Times;serif" w:hAnsi="Times New Roman;Times;serif"/>
          <w:i/>
          <w:sz w:val="20"/>
        </w:rPr>
        <w:t xml:space="preserve">, </w:t>
      </w:r>
      <w:r>
        <w:rPr>
          <w:rFonts w:ascii="Times New Roman;Times;serif" w:hAnsi="Times New Roman;Times;serif"/>
          <w:b/>
          <w:i/>
          <w:sz w:val="20"/>
        </w:rPr>
        <w:t>which could cause significant liability for us and harm our reputation</w:t>
      </w:r>
      <w:r>
        <w:rPr>
          <w:rFonts w:ascii="Times New Roman;Times;serif" w:hAnsi="Times New Roman;Times;serif"/>
          <w:i/>
          <w:sz w:val="20"/>
        </w:rPr>
        <w: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are exposed to the risk that our employees, independent contractors, consultants, collaborators and contract research organizations may engage in fraudulent conduct or other illegal activity. Misconduct by those parties could include intentional, reckless and/or negligent conduct or disclosure of unauthorized activities to us that violates: (1) FDA regulations or similar regulations of comparable non-U.S. regulatory authorities, including those laws requiring the reporting of true, complete and accurate information to such authorities; (2) manufacturing standards; (3) federal and state healthcare fraud and abuse laws and regulations and similar laws and regulations established and enforced by comparable non-U.S. regulatory authorities; and (4) laws that require the reporting of financial information or data accurately. In particular, sales, marketing and business arrangements in the healthcare industry are subject to extensive laws and regulations intended to prevent fraud, misconduct, kickbacks, self-dealing, bribery and other abusive practices. These laws and regulations restrict or prohibit a wide range of pricing, discounting, marketing and promotion, sales commission, customer incentive programs and other business arrangements. Employee or collaborator misconduct could also involve the improper use of, including trading on, information obtained in the course of clinical trials, which could result in regulatory sanctions and serious harm to our reputation. Further, because of our hybrid work environment, information that is normally protected, including company confidential information, may be less secure. We have adopted a code of conduct and business ethics to which all of our employees must adhere, but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civil, criminal and administrative penalties, damages, monetary fines, possible exclusion from participation in Medicare, Medicaid and other federal healthcare programs, additional reporting requirements and/or oversight if we become subject to a corporate integrity agreement or similar agreement to resolve allegations of non-compliance with these laws, imprisonment, contractual damages, reputational harm, diminished profits and future earnings, and curtailment of our operations, any of which could have a material adverse effect on our ability to operate our business and our results of operations</w:t>
      </w:r>
      <w:r>
        <w:rPr>
          <w:rFonts w:ascii="Times New Roman;Times;serif" w:hAnsi="Times New Roman;Times;serif"/>
          <w:sz w:val="20"/>
          <w:shd w:fill="FFFFFF" w:val="clea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We may encounter difficulties in managing our growth</w:t>
      </w:r>
      <w:r>
        <w:rPr>
          <w:rFonts w:ascii="Times New Roman;Times;serif" w:hAnsi="Times New Roman;Times;serif"/>
          <w:i/>
          <w:sz w:val="20"/>
        </w:rPr>
        <w:t xml:space="preserve">, </w:t>
      </w:r>
      <w:r>
        <w:rPr>
          <w:rFonts w:ascii="Times New Roman;Times;serif" w:hAnsi="Times New Roman;Times;serif"/>
          <w:b/>
          <w:i/>
          <w:sz w:val="20"/>
        </w:rPr>
        <w:t>which could disrupt our operations</w:t>
      </w:r>
      <w:r>
        <w:rPr>
          <w:rFonts w:ascii="Times New Roman;Times;serif" w:hAnsi="Times New Roman;Times;serif"/>
          <w:i/>
          <w:sz w:val="20"/>
        </w:rPr>
        <w:t>.</w:t>
      </w:r>
    </w:p>
    <w:p>
      <w:pPr>
        <w:pStyle w:val="TextBody"/>
        <w:bidi w:val="0"/>
        <w:spacing w:before="0" w:after="0"/>
        <w:ind w:left="0" w:right="0" w:hanging="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recent years, we have experienced significant fluctuations in the number of our employees and growth in the scope of our operations and over the long term we expect to expand, particularly in the areas of drug manufacturing, supply chain, clinical development, sales, marketing, as well as to support our public company operations. To manage these growth activities, we must continue to implement and improve our managerial, operational and financial systems, expand our facilities and continue to recruit and train additional qualified personnel. Our management may need to devote a significant amount of its time and attention to managing both rightsizing and growth activities. </w:t>
      </w:r>
    </w:p>
    <w:p>
      <w:pPr>
        <w:pStyle w:val="TextBody"/>
        <w:shd w:fill="FFFFFF" w:val="clear"/>
        <w:bidi w:val="0"/>
        <w:spacing w:before="0" w:after="0"/>
        <w:ind w:left="0" w:right="0" w:firstLine="72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potential growth over the long term may also require us to relocate to geographic areas beyond those where we have been historically located. For example, we maintain office and laboratory space in Cambridge, U.K. and in Massachusetts, U.S. Due to our limited resources, we may not be able to effectively manage the potential expansion or relocation of our operations, retain key employees, or identify, recruit and train additional qualified personnel. Our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inability to effectively manage changes in the size of our workforce and other operations effectively may result in weaknesses in our infrastructure, give rise to operational mistakes, loss of business opportunities, loss of employees and reduced productivity among remaining employees. Our potential growth could also require significant capital expenditures and may divert financial resources from other projects, such as the development of additional product candidates. If we are unable to effectively manage our potential growth, our expenses may increase more than expected, our ability to generate revenues could be reduced and we may not be able to implement our business strategy, including the successful commercialization of our product candidates.</w:t>
      </w:r>
    </w:p>
    <w:p>
      <w:pPr>
        <w:pStyle w:val="TextBody"/>
        <w:shd w:fill="FFFFFF" w:val="clear"/>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Risks Related to Ownership of Our Securities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The market price of our ADSs is highly volatile</w:t>
      </w:r>
      <w:r>
        <w:rPr>
          <w:rFonts w:ascii="Times New Roman;Times;serif" w:hAnsi="Times New Roman;Times;serif"/>
          <w:i/>
          <w:sz w:val="20"/>
        </w:rPr>
        <w:t xml:space="preserve">, </w:t>
      </w:r>
      <w:r>
        <w:rPr>
          <w:rFonts w:ascii="Times New Roman;Times;serif" w:hAnsi="Times New Roman;Times;serif"/>
          <w:b/>
          <w:i/>
          <w:sz w:val="20"/>
        </w:rPr>
        <w:t>and holders of our ADSs may not be able to resell their ADSs at or above the price at which they purchased their ADSs</w:t>
      </w:r>
      <w:r>
        <w:rPr>
          <w:rFonts w:ascii="Times New Roman;Times;serif" w:hAnsi="Times New Roman;Times;serif"/>
          <w:i/>
          <w:sz w:val="20"/>
        </w:rPr>
        <w:t>.</w:t>
      </w:r>
    </w:p>
    <w:p>
      <w:pPr>
        <w:pStyle w:val="TextBody"/>
        <w:bidi w:val="0"/>
        <w:spacing w:before="0" w:after="0"/>
        <w:ind w:left="0" w:right="0" w:hanging="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market price of our ADSs is highly volatile. Since our initial public offering, or IPO, in May 2019, through July 27, 2026, the trading price of our ADSs has ranged from $3.87 to $62.08. The stock market in general, and the market for pharmaceutical companies in particular, has experienced extreme volatility that has often been unrelated to the operating performance of particular companies. As a result of this volatility, holders of our ADSs may not be able to sell their ADSs at or above the price at which they purchased their ADSs. The market price for our ADSs may be influenced by many factors, including:</w:t>
      </w:r>
    </w:p>
    <w:p>
      <w:pPr>
        <w:pStyle w:val="TextBody"/>
        <w:bidi w:val="0"/>
        <w:spacing w:before="0" w:after="0"/>
        <w:ind w:left="0" w:right="0" w:hanging="0"/>
        <w:jc w:val="left"/>
        <w:rPr/>
      </w:pPr>
      <w:r>
        <w:rPr/>
        <w:t>​</w:t>
      </w:r>
    </w:p>
    <w:tbl>
      <w:tblPr>
        <w:tblW w:w="5616" w:type="dxa"/>
        <w:jc w:val="left"/>
        <w:tblInd w:w="0" w:type="dxa"/>
        <w:tblLayout w:type="fixed"/>
        <w:tblCellMar>
          <w:top w:w="28" w:type="dxa"/>
          <w:left w:w="28" w:type="dxa"/>
          <w:bottom w:w="28" w:type="dxa"/>
          <w:right w:w="28" w:type="dxa"/>
        </w:tblCellMar>
      </w:tblPr>
      <w:tblGrid>
        <w:gridCol w:w="124"/>
        <w:gridCol w:w="256"/>
        <w:gridCol w:w="5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results or delays in preclinical studies or clinical trials;</w:t>
            </w:r>
          </w:p>
        </w:tc>
      </w:tr>
    </w:tbl>
    <w:p>
      <w:pPr>
        <w:pStyle w:val="TextBody"/>
        <w:bidi w:val="0"/>
        <w:spacing w:before="0" w:after="0"/>
        <w:ind w:left="36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reports of adverse events in products similar or perceived to be similar to those we are developing or clinical trials of such products;</w:t>
            </w:r>
          </w:p>
        </w:tc>
      </w:tr>
    </w:tbl>
    <w:tbl>
      <w:tblPr>
        <w:tblW w:w="3891" w:type="dxa"/>
        <w:jc w:val="left"/>
        <w:tblInd w:w="0" w:type="dxa"/>
        <w:tblLayout w:type="fixed"/>
        <w:tblCellMar>
          <w:top w:w="28" w:type="dxa"/>
          <w:left w:w="28" w:type="dxa"/>
          <w:bottom w:w="28" w:type="dxa"/>
          <w:right w:w="28" w:type="dxa"/>
        </w:tblCellMar>
      </w:tblPr>
      <w:tblGrid>
        <w:gridCol w:w="124"/>
        <w:gridCol w:w="256"/>
        <w:gridCol w:w="35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inability to obtain additional funding;</w:t>
            </w:r>
          </w:p>
        </w:tc>
      </w:tr>
    </w:tbl>
    <w:p>
      <w:pPr>
        <w:pStyle w:val="TextBody"/>
        <w:bidi w:val="0"/>
        <w:spacing w:before="0" w:after="0"/>
        <w:ind w:left="360" w:right="0" w:hanging="0"/>
        <w:jc w:val="left"/>
        <w:rPr/>
      </w:pPr>
      <w:r>
        <w:rPr/>
        <w:t>​</w:t>
      </w:r>
    </w:p>
    <w:tbl>
      <w:tblPr>
        <w:tblW w:w="7026" w:type="dxa"/>
        <w:jc w:val="left"/>
        <w:tblInd w:w="0" w:type="dxa"/>
        <w:tblLayout w:type="fixed"/>
        <w:tblCellMar>
          <w:top w:w="28" w:type="dxa"/>
          <w:left w:w="28" w:type="dxa"/>
          <w:bottom w:w="28" w:type="dxa"/>
          <w:right w:w="28" w:type="dxa"/>
        </w:tblCellMar>
      </w:tblPr>
      <w:tblGrid>
        <w:gridCol w:w="124"/>
        <w:gridCol w:w="256"/>
        <w:gridCol w:w="6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by us to successfully develop and commercialize our product candidates;</w:t>
            </w:r>
          </w:p>
        </w:tc>
      </w:tr>
    </w:tbl>
    <w:p>
      <w:pPr>
        <w:pStyle w:val="TextBody"/>
        <w:bidi w:val="0"/>
        <w:spacing w:before="0" w:after="0"/>
        <w:ind w:left="360" w:right="0" w:hanging="0"/>
        <w:jc w:val="left"/>
        <w:rPr/>
      </w:pPr>
      <w:r>
        <w:rPr/>
        <w:t>​</w:t>
      </w:r>
    </w:p>
    <w:tbl>
      <w:tblPr>
        <w:tblW w:w="8166" w:type="dxa"/>
        <w:jc w:val="left"/>
        <w:tblInd w:w="0" w:type="dxa"/>
        <w:tblLayout w:type="fixed"/>
        <w:tblCellMar>
          <w:top w:w="28" w:type="dxa"/>
          <w:left w:w="28" w:type="dxa"/>
          <w:bottom w:w="28" w:type="dxa"/>
          <w:right w:w="28" w:type="dxa"/>
        </w:tblCellMar>
      </w:tblPr>
      <w:tblGrid>
        <w:gridCol w:w="124"/>
        <w:gridCol w:w="256"/>
        <w:gridCol w:w="7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by us to maintain our existing strategic collaborations or enter into new collaborations;</w:t>
            </w:r>
          </w:p>
        </w:tc>
      </w:tr>
    </w:tbl>
    <w:p>
      <w:pPr>
        <w:pStyle w:val="TextBody"/>
        <w:bidi w:val="0"/>
        <w:spacing w:before="0" w:after="0"/>
        <w:ind w:left="360" w:right="0" w:hanging="0"/>
        <w:jc w:val="left"/>
        <w:rPr/>
      </w:pPr>
      <w:r>
        <w:rPr/>
        <w:t>​</w:t>
      </w:r>
    </w:p>
    <w:tbl>
      <w:tblPr>
        <w:tblW w:w="6276" w:type="dxa"/>
        <w:jc w:val="left"/>
        <w:tblInd w:w="0" w:type="dxa"/>
        <w:tblLayout w:type="fixed"/>
        <w:tblCellMar>
          <w:top w:w="28" w:type="dxa"/>
          <w:left w:w="28" w:type="dxa"/>
          <w:bottom w:w="28" w:type="dxa"/>
          <w:right w:w="28" w:type="dxa"/>
        </w:tblCellMar>
      </w:tblPr>
      <w:tblGrid>
        <w:gridCol w:w="124"/>
        <w:gridCol w:w="256"/>
        <w:gridCol w:w="58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by us to identify additional product candidates for our pipeline;</w:t>
            </w:r>
          </w:p>
        </w:tc>
      </w:tr>
    </w:tbl>
    <w:p>
      <w:pPr>
        <w:pStyle w:val="TextBody"/>
        <w:bidi w:val="0"/>
        <w:spacing w:before="0" w:after="0"/>
        <w:ind w:left="360" w:right="0" w:hanging="0"/>
        <w:jc w:val="left"/>
        <w:rPr/>
      </w:pPr>
      <w:r>
        <w:rPr/>
        <w:t>​</w:t>
      </w:r>
    </w:p>
    <w:tbl>
      <w:tblPr>
        <w:tblW w:w="9891" w:type="dxa"/>
        <w:jc w:val="left"/>
        <w:tblInd w:w="0" w:type="dxa"/>
        <w:tblLayout w:type="fixed"/>
        <w:tblCellMar>
          <w:top w:w="28" w:type="dxa"/>
          <w:left w:w="28" w:type="dxa"/>
          <w:bottom w:w="28" w:type="dxa"/>
          <w:right w:w="28" w:type="dxa"/>
        </w:tblCellMar>
      </w:tblPr>
      <w:tblGrid>
        <w:gridCol w:w="124"/>
        <w:gridCol w:w="256"/>
        <w:gridCol w:w="95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by us or our licensors and strategic partners to prosecute, maintain or enforce our intellectual property rights;</w:t>
            </w:r>
          </w:p>
        </w:tc>
      </w:tr>
    </w:tbl>
    <w:p>
      <w:pPr>
        <w:pStyle w:val="TextBody"/>
        <w:bidi w:val="0"/>
        <w:spacing w:before="0" w:after="0"/>
        <w:ind w:left="360" w:right="0" w:hanging="0"/>
        <w:jc w:val="left"/>
        <w:rPr/>
      </w:pPr>
      <w:r>
        <w:rPr/>
        <w:t>​</w:t>
      </w:r>
    </w:p>
    <w:tbl>
      <w:tblPr>
        <w:tblW w:w="5421" w:type="dxa"/>
        <w:jc w:val="left"/>
        <w:tblInd w:w="0" w:type="dxa"/>
        <w:tblLayout w:type="fixed"/>
        <w:tblCellMar>
          <w:top w:w="28" w:type="dxa"/>
          <w:left w:w="28" w:type="dxa"/>
          <w:bottom w:w="28" w:type="dxa"/>
          <w:right w:w="28" w:type="dxa"/>
        </w:tblCellMar>
      </w:tblPr>
      <w:tblGrid>
        <w:gridCol w:w="124"/>
        <w:gridCol w:w="256"/>
        <w:gridCol w:w="50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laws or regulations applicable to future products;</w:t>
            </w:r>
          </w:p>
        </w:tc>
      </w:tr>
    </w:tbl>
    <w:p>
      <w:pPr>
        <w:pStyle w:val="TextBody"/>
        <w:pBdr/>
        <w:bidi w:val="0"/>
        <w:spacing w:before="0" w:after="0"/>
        <w:ind w:left="720" w:right="0" w:hanging="360"/>
        <w:jc w:val="left"/>
        <w:rPr/>
      </w:pPr>
      <w:r>
        <w:rPr/>
        <w:t>​</w:t>
      </w:r>
    </w:p>
    <w:p>
      <w:pPr>
        <w:pStyle w:val="Normal"/>
        <w:bidi w:val="0"/>
        <w:spacing w:before="0" w:after="0"/>
        <w:jc w:val="left"/>
        <w:rPr>
          <w:sz w:val="4"/>
          <w:szCs w:val="4"/>
        </w:rPr>
      </w:pPr>
      <w:r>
        <w:rPr>
          <w:sz w:val="4"/>
          <w:szCs w:val="4"/>
        </w:rPr>
      </w:r>
      <w:bookmarkStart w:id="1015" w:name="_cp_text_1_162"/>
      <w:bookmarkStart w:id="1016" w:name="_cp_text_1_162"/>
      <w:bookmarkEnd w:id="1016"/>
    </w:p>
    <w:tbl>
      <w:tblPr>
        <w:tblW w:w="5031" w:type="dxa"/>
        <w:jc w:val="left"/>
        <w:tblInd w:w="0" w:type="dxa"/>
        <w:tblLayout w:type="fixed"/>
        <w:tblCellMar>
          <w:top w:w="28" w:type="dxa"/>
          <w:left w:w="28" w:type="dxa"/>
          <w:bottom w:w="28" w:type="dxa"/>
          <w:right w:w="28" w:type="dxa"/>
        </w:tblCellMar>
      </w:tblPr>
      <w:tblGrid>
        <w:gridCol w:w="124"/>
        <w:gridCol w:w="256"/>
        <w:gridCol w:w="4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structure of healthcare payment systems;</w:t>
            </w:r>
          </w:p>
        </w:tc>
      </w:tr>
    </w:tbl>
    <w:p>
      <w:pPr>
        <w:pStyle w:val="TextBody"/>
        <w:bidi w:val="0"/>
        <w:spacing w:before="0" w:after="0"/>
        <w:ind w:left="360" w:right="0" w:hanging="0"/>
        <w:jc w:val="left"/>
        <w:rPr/>
      </w:pPr>
      <w:r>
        <w:rPr/>
        <w:t>​</w:t>
      </w:r>
    </w:p>
    <w:tbl>
      <w:tblPr>
        <w:tblW w:w="10131" w:type="dxa"/>
        <w:jc w:val="left"/>
        <w:tblInd w:w="0" w:type="dxa"/>
        <w:tblLayout w:type="fixed"/>
        <w:tblCellMar>
          <w:top w:w="28" w:type="dxa"/>
          <w:left w:w="28" w:type="dxa"/>
          <w:bottom w:w="28" w:type="dxa"/>
          <w:right w:w="28" w:type="dxa"/>
        </w:tblCellMar>
      </w:tblPr>
      <w:tblGrid>
        <w:gridCol w:w="124"/>
        <w:gridCol w:w="256"/>
        <w:gridCol w:w="9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inability to obtain adequate product supply for our product candidates or the inability to do so at acceptable prices;</w:t>
            </w:r>
          </w:p>
        </w:tc>
      </w:tr>
    </w:tbl>
    <w:p>
      <w:pPr>
        <w:pStyle w:val="TextBody"/>
        <w:bidi w:val="0"/>
        <w:spacing w:before="0" w:after="0"/>
        <w:ind w:left="360" w:right="0" w:hanging="0"/>
        <w:jc w:val="left"/>
        <w:rPr/>
      </w:pPr>
      <w:r>
        <w:rPr/>
        <w:t>​</w:t>
      </w:r>
    </w:p>
    <w:tbl>
      <w:tblPr>
        <w:tblW w:w="2901" w:type="dxa"/>
        <w:jc w:val="left"/>
        <w:tblInd w:w="0" w:type="dxa"/>
        <w:tblLayout w:type="fixed"/>
        <w:tblCellMar>
          <w:top w:w="28" w:type="dxa"/>
          <w:left w:w="28" w:type="dxa"/>
          <w:bottom w:w="28" w:type="dxa"/>
          <w:right w:w="28" w:type="dxa"/>
        </w:tblCellMar>
      </w:tblPr>
      <w:tblGrid>
        <w:gridCol w:w="124"/>
        <w:gridCol w:w="256"/>
        <w:gridCol w:w="25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regulatory decisions;</w:t>
            </w:r>
          </w:p>
        </w:tc>
      </w:tr>
    </w:tbl>
    <w:p>
      <w:pPr>
        <w:pStyle w:val="TextBody"/>
        <w:bidi w:val="0"/>
        <w:spacing w:before="0" w:after="0"/>
        <w:ind w:left="360" w:right="0" w:hanging="0"/>
        <w:jc w:val="left"/>
        <w:rPr/>
      </w:pPr>
      <w:r>
        <w:rPr/>
        <w:t>​</w:t>
      </w:r>
    </w:p>
    <w:tbl>
      <w:tblPr>
        <w:tblW w:w="6861" w:type="dxa"/>
        <w:jc w:val="left"/>
        <w:tblInd w:w="0" w:type="dxa"/>
        <w:tblLayout w:type="fixed"/>
        <w:tblCellMar>
          <w:top w:w="28" w:type="dxa"/>
          <w:left w:w="28" w:type="dxa"/>
          <w:bottom w:w="28" w:type="dxa"/>
          <w:right w:w="28" w:type="dxa"/>
        </w:tblCellMar>
      </w:tblPr>
      <w:tblGrid>
        <w:gridCol w:w="124"/>
        <w:gridCol w:w="256"/>
        <w:gridCol w:w="6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introduction of new products, services or technologies by our competitors;</w:t>
            </w:r>
          </w:p>
        </w:tc>
      </w:tr>
    </w:tbl>
    <w:p>
      <w:pPr>
        <w:pStyle w:val="TextBody"/>
        <w:bidi w:val="0"/>
        <w:spacing w:before="0" w:after="0"/>
        <w:ind w:left="360" w:right="0" w:hanging="0"/>
        <w:jc w:val="left"/>
        <w:rPr/>
      </w:pPr>
      <w:r>
        <w:rPr/>
        <w:t>​</w:t>
      </w:r>
    </w:p>
    <w:tbl>
      <w:tblPr>
        <w:tblW w:w="7206" w:type="dxa"/>
        <w:jc w:val="left"/>
        <w:tblInd w:w="0" w:type="dxa"/>
        <w:tblLayout w:type="fixed"/>
        <w:tblCellMar>
          <w:top w:w="28" w:type="dxa"/>
          <w:left w:w="28" w:type="dxa"/>
          <w:bottom w:w="28" w:type="dxa"/>
          <w:right w:w="28" w:type="dxa"/>
        </w:tblCellMar>
      </w:tblPr>
      <w:tblGrid>
        <w:gridCol w:w="124"/>
        <w:gridCol w:w="256"/>
        <w:gridCol w:w="68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by us to meet or exceed financial projections we may provide to the public;</w:t>
            </w:r>
          </w:p>
        </w:tc>
      </w:tr>
    </w:tbl>
    <w:p>
      <w:pPr>
        <w:pStyle w:val="TextBody"/>
        <w:bidi w:val="0"/>
        <w:spacing w:before="0" w:after="0"/>
        <w:ind w:left="360" w:right="0" w:hanging="0"/>
        <w:jc w:val="left"/>
        <w:rPr/>
      </w:pPr>
      <w:r>
        <w:rPr/>
        <w:t>​</w:t>
      </w:r>
    </w:p>
    <w:tbl>
      <w:tblPr>
        <w:tblW w:w="7521" w:type="dxa"/>
        <w:jc w:val="left"/>
        <w:tblInd w:w="0" w:type="dxa"/>
        <w:tblLayout w:type="fixed"/>
        <w:tblCellMar>
          <w:top w:w="28" w:type="dxa"/>
          <w:left w:w="28" w:type="dxa"/>
          <w:bottom w:w="28" w:type="dxa"/>
          <w:right w:w="28" w:type="dxa"/>
        </w:tblCellMar>
      </w:tblPr>
      <w:tblGrid>
        <w:gridCol w:w="124"/>
        <w:gridCol w:w="256"/>
        <w:gridCol w:w="71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by us to meet or exceed the financial projections of the investment community;</w:t>
            </w:r>
          </w:p>
        </w:tc>
      </w:tr>
    </w:tbl>
    <w:p>
      <w:pPr>
        <w:pStyle w:val="TextBody"/>
        <w:bidi w:val="0"/>
        <w:spacing w:before="0" w:after="0"/>
        <w:ind w:left="360" w:right="0" w:hanging="0"/>
        <w:jc w:val="left"/>
        <w:rPr/>
      </w:pPr>
      <w:r>
        <w:rPr/>
        <w:t>​</w:t>
      </w:r>
    </w:p>
    <w:tbl>
      <w:tblPr>
        <w:tblW w:w="9891" w:type="dxa"/>
        <w:jc w:val="left"/>
        <w:tblInd w:w="0" w:type="dxa"/>
        <w:tblLayout w:type="fixed"/>
        <w:tblCellMar>
          <w:top w:w="28" w:type="dxa"/>
          <w:left w:w="28" w:type="dxa"/>
          <w:bottom w:w="28" w:type="dxa"/>
          <w:right w:w="28" w:type="dxa"/>
        </w:tblCellMar>
      </w:tblPr>
      <w:tblGrid>
        <w:gridCol w:w="124"/>
        <w:gridCol w:w="256"/>
        <w:gridCol w:w="95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perception of the pharmaceutical industry by the public, legislatures, regulators and the investment community;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36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significant acquisitions, strategic partnerships, joint ventures or capital commitments by us, our strategic partners or our competitors;</w:t>
            </w:r>
          </w:p>
        </w:tc>
      </w:tr>
    </w:tbl>
    <w:p>
      <w:pPr>
        <w:pStyle w:val="TextBody"/>
        <w:bidi w:val="0"/>
        <w:spacing w:before="0" w:after="0"/>
        <w:ind w:left="36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disputes or other developments relating to proprietary rights, including patents, litigation matters and our ability to obtain patent protection for our technologies;</w:t>
            </w:r>
          </w:p>
        </w:tc>
      </w:tr>
    </w:tbl>
    <w:p>
      <w:pPr>
        <w:pStyle w:val="TextBody"/>
        <w:bidi w:val="0"/>
        <w:spacing w:before="0" w:after="0"/>
        <w:ind w:left="360" w:right="0" w:hanging="0"/>
        <w:jc w:val="left"/>
        <w:rPr/>
      </w:pPr>
      <w:r>
        <w:rPr/>
        <w:t>​</w:t>
      </w:r>
    </w:p>
    <w:tbl>
      <w:tblPr>
        <w:tblW w:w="5931" w:type="dxa"/>
        <w:jc w:val="left"/>
        <w:tblInd w:w="0" w:type="dxa"/>
        <w:tblLayout w:type="fixed"/>
        <w:tblCellMar>
          <w:top w:w="28" w:type="dxa"/>
          <w:left w:w="28" w:type="dxa"/>
          <w:bottom w:w="28" w:type="dxa"/>
          <w:right w:w="28" w:type="dxa"/>
        </w:tblCellMar>
      </w:tblPr>
      <w:tblGrid>
        <w:gridCol w:w="124"/>
        <w:gridCol w:w="256"/>
        <w:gridCol w:w="55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or departures of key scientific or management personnel;</w:t>
            </w:r>
          </w:p>
        </w:tc>
      </w:tr>
    </w:tbl>
    <w:p>
      <w:pPr>
        <w:pStyle w:val="TextBody"/>
        <w:bidi w:val="0"/>
        <w:spacing w:before="0" w:after="0"/>
        <w:ind w:left="360" w:right="0" w:hanging="0"/>
        <w:jc w:val="left"/>
        <w:rPr/>
      </w:pPr>
      <w:r>
        <w:rPr/>
        <w:t>​</w:t>
      </w:r>
    </w:p>
    <w:tbl>
      <w:tblPr>
        <w:tblW w:w="5616" w:type="dxa"/>
        <w:jc w:val="left"/>
        <w:tblInd w:w="0" w:type="dxa"/>
        <w:tblLayout w:type="fixed"/>
        <w:tblCellMar>
          <w:top w:w="28" w:type="dxa"/>
          <w:left w:w="28" w:type="dxa"/>
          <w:bottom w:w="28" w:type="dxa"/>
          <w:right w:w="28" w:type="dxa"/>
        </w:tblCellMar>
      </w:tblPr>
      <w:tblGrid>
        <w:gridCol w:w="124"/>
        <w:gridCol w:w="256"/>
        <w:gridCol w:w="5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lawsuits, including patent or shareholder litigation;</w:t>
            </w:r>
          </w:p>
        </w:tc>
      </w:tr>
    </w:tbl>
    <w:p>
      <w:pPr>
        <w:pStyle w:val="TextBody"/>
        <w:bidi w:val="0"/>
        <w:spacing w:before="0" w:after="0"/>
        <w:ind w:left="360" w:right="0" w:hanging="0"/>
        <w:jc w:val="left"/>
        <w:rPr/>
      </w:pPr>
      <w:r>
        <w:rPr/>
        <w:t>​</w:t>
      </w:r>
    </w:p>
    <w:tbl>
      <w:tblPr>
        <w:tblW w:w="4986" w:type="dxa"/>
        <w:jc w:val="left"/>
        <w:tblInd w:w="0" w:type="dxa"/>
        <w:tblLayout w:type="fixed"/>
        <w:tblCellMar>
          <w:top w:w="28" w:type="dxa"/>
          <w:left w:w="28" w:type="dxa"/>
          <w:bottom w:w="28" w:type="dxa"/>
          <w:right w:w="28" w:type="dxa"/>
        </w:tblCellMar>
      </w:tblPr>
      <w:tblGrid>
        <w:gridCol w:w="124"/>
        <w:gridCol w:w="256"/>
        <w:gridCol w:w="46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market valuations of similar companies;</w:t>
            </w:r>
          </w:p>
        </w:tc>
      </w:tr>
    </w:tbl>
    <w:p>
      <w:pPr>
        <w:pStyle w:val="TextBody"/>
        <w:bidi w:val="0"/>
        <w:spacing w:before="0" w:after="0"/>
        <w:ind w:left="360" w:right="0" w:hanging="0"/>
        <w:jc w:val="left"/>
        <w:rPr/>
      </w:pPr>
      <w:r>
        <w:rPr/>
        <w:t>​</w:t>
      </w:r>
    </w:p>
    <w:tbl>
      <w:tblPr>
        <w:tblW w:w="6936" w:type="dxa"/>
        <w:jc w:val="left"/>
        <w:tblInd w:w="0" w:type="dxa"/>
        <w:tblLayout w:type="fixed"/>
        <w:tblCellMar>
          <w:top w:w="28" w:type="dxa"/>
          <w:left w:w="28" w:type="dxa"/>
          <w:bottom w:w="28" w:type="dxa"/>
          <w:right w:w="28" w:type="dxa"/>
        </w:tblCellMar>
      </w:tblPr>
      <w:tblGrid>
        <w:gridCol w:w="124"/>
        <w:gridCol w:w="256"/>
        <w:gridCol w:w="65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ADSs or ordinary shares by us or our shareholders in the future; and</w:t>
            </w:r>
          </w:p>
        </w:tc>
      </w:tr>
    </w:tbl>
    <w:p>
      <w:pPr>
        <w:pStyle w:val="TextBody"/>
        <w:bidi w:val="0"/>
        <w:spacing w:before="0" w:after="0"/>
        <w:ind w:left="360" w:right="0" w:hanging="0"/>
        <w:jc w:val="left"/>
        <w:rPr/>
      </w:pPr>
      <w:r>
        <w:rPr/>
        <w:t>​</w:t>
      </w:r>
    </w:p>
    <w:tbl>
      <w:tblPr>
        <w:tblW w:w="3141" w:type="dxa"/>
        <w:jc w:val="left"/>
        <w:tblInd w:w="0" w:type="dxa"/>
        <w:tblLayout w:type="fixed"/>
        <w:tblCellMar>
          <w:top w:w="28" w:type="dxa"/>
          <w:left w:w="28" w:type="dxa"/>
          <w:bottom w:w="28" w:type="dxa"/>
          <w:right w:w="28" w:type="dxa"/>
        </w:tblCellMar>
      </w:tblPr>
      <w:tblGrid>
        <w:gridCol w:w="124"/>
        <w:gridCol w:w="256"/>
        <w:gridCol w:w="27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volume of our ADSs.</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global economy, including credit and financial markets, has experienced extreme volatility and disruptions, including, among other things, severely diminished liquidity and credit availability, declines in consumer confidence, declines in economic growth, increases in unemployment rates, supply chain shortages, increases in inflation rates, higher interest rates and uncertainty about economic stability. Similarly, geopolitical risks, including evolving impacts from tariffs, sanctions or other trade tensions between the United States and other countries, or demand or supply shocks from events such as major terrorist attacks, war, natural disasters or actual or threatened public health pandemics or other emergencies have created extreme volatility in the global capital markets and may have further global economic consequences, including further disruptions of the global supply chain and energy markets. Any such volatility and disruptions may have adverse consequences on us or the third parties on whom we rely. If the equity and credit markets continue to deteriorate, it may make any necessary debt or equity financings more difficult to obtain in a timely manner or on favorable terms, more costly or more dilutive. Increased inflation rates and macroeconomic turmoil can adversely affect us by increasing our costs and the costs of our contract manufacturing organizations, or CMOs, and other suppliers. These factors may negatively affect the market price of our ADSs, regardless of our actual operating performance</w:t>
      </w:r>
      <w:r>
        <w:rPr>
          <w:rFonts w:ascii="Times New Roman;Times;serif" w:hAnsi="Times New Roman;Times;serif"/>
          <w:sz w:val="20"/>
          <w:shd w:fill="FFFFFF" w:val="clear"/>
        </w:rPr>
        <w:t>.</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The dual class structure of our shares may limit your ability to influence corporate matters and may limit your visibility with respect to certain transactions.</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shd w:fill="FFFFFF" w:val="clear"/>
        </w:rPr>
        <w:t xml:space="preserve">As of July 27, 2026, we had </w:t>
      </w:r>
      <w:r>
        <w:rPr>
          <w:rFonts w:ascii="Times New Roman;Times;serif" w:hAnsi="Times New Roman;Times;serif"/>
          <w:sz w:val="20"/>
        </w:rPr>
        <w:t>50,554,927</w:t>
      </w:r>
      <w:r>
        <w:rPr>
          <w:rFonts w:ascii="Times New Roman;Times;serif" w:hAnsi="Times New Roman;Times;serif"/>
          <w:sz w:val="20"/>
          <w:shd w:fill="FFFFFF" w:val="clear"/>
        </w:rPr>
        <w:t xml:space="preserve"> ordinary shares, nominal value £0.01 per share, and 19,437,944 non-voting ordinary shares, nominal value £0.01 per share, outstanding. The dual class structure of our shares may limit your ability to influence corporate matters. Holders of our ordinary shares are entitled to one vote per share, while holders of our non-voting ordinary shares are not entitled to any votes. Nevertheless, non-voting ordinary shares may be re-designated at any time as ordinary shares at the option of the holder by providing written notice to us, subject to certain restrictions. Such restrictions include prohibitions on a holder from re-designating the non-voting ordinary shares as ordinary shares if such re-designation would result in such holder beneficially owning (when aggregated with “affiliates” and “group” members) in excess of 9.9% of any class of our securities registered under the Exchange Act, or upon at least 61 days’ notice, not in excess of 19.9%. Any re-designation of non-voting ordinary shares as ordinary shares will have the effect of increasing the relative voting power of those prior holders of our non-voting ordinary shares, and correspondingly decreasing the voting power of the holders of our ordinary shares, which may limit your ability to influence corporate matters. The ordinary shares currently have 100% of the voting power, but if the holders of non-voting ordinary shares were to re-designate all of their non-voting ordinary shares as ordinary shares (assuming, for these purposes, that they were able to do so in compliance with the beneficial ownership limitation), based on the number of ordinary shares and non-voting ordinary shares outstanding on June 30, 2026, the ordinary shares outstanding prior to the re-designation would have approximately 72% of the voting power and the former non-voting ordinary shares would represent approximately 28% of the voting power.</w:t>
      </w:r>
    </w:p>
    <w:p>
      <w:pPr>
        <w:pStyle w:val="TextBody"/>
        <w:bidi w:val="0"/>
        <w:spacing w:before="0" w:after="0"/>
        <w:ind w:left="0" w:right="0" w:hanging="0"/>
        <w:jc w:val="left"/>
        <w:rPr>
          <w:shd w:fill="FFFFFF" w:val="clear"/>
        </w:rPr>
      </w:pPr>
      <w:r>
        <w:rPr>
          <w:shd w:fill="FFFFFF"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Substantial future sales or issuances of shares of our ordinary shares or ADSs or other equity-related securities could adversely affect the price of our ADSs and dilute shareholders.</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Sales of a substantial number of ordinary shares or ADSs, and sales by our management, our directors, their affiliates, or significant shareholders, could occur at any time. Based on information available to us, entities affiliated with Baker Bros. Advisors LP, or the Baker Entities, beneficially own approximately 21.7% of our ordinary shares. If these shares are sold in the market in transactions that occur at about the same time, such transactions could depress the market of our ADSs and could also affect our ability to raise equity capital through the sale of additional equity or equity-related securities, including non-voting ordinary shares, to meet our capital needs, including in connection with funding potential future acquisition or licensing opportunities, capital expenditures or product development costs. Our registration obligations pursuant to the Registration Rights Agreement with the Baker Entities also cover all shares thereafter acquired by the Baker Entities, for up to 10 years, and include our obligation to facilitate certain underwritten public offerings of our ordinary shares or ADSs by the Baker Entities in the future. In addition, ordinary shares subject to outstanding options under our equity incentive plans and the ordinary shares reserved for future issuance under our equity incentive plans will become eligible for sale in the public market in the future, subject to certain legal and contractual limitations, which will dilute current holders.</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Our existing shareholders may consult with our management and have various impacts on our business affairs.</w:t>
      </w:r>
    </w:p>
    <w:p>
      <w:pPr>
        <w:pStyle w:val="TextBody"/>
        <w:bidi w:val="0"/>
        <w:spacing w:before="0" w:after="0"/>
        <w:ind w:left="0" w:right="0" w:hanging="0"/>
        <w:jc w:val="left"/>
        <w:rPr>
          <w:shd w:fill="FFFFFF" w:val="clear"/>
        </w:rPr>
      </w:pPr>
      <w:r>
        <w:rPr>
          <w:shd w:fill="FFFFFF" w:val="clear"/>
        </w:rPr>
        <w:t>​</w:t>
      </w:r>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While our shareholder base and relative holdings may change over time, the Baker Entities hold the largest ownership position in our outstanding ordinary shares and non-voting ordinary shares. In addition, Felix J. Baker, Chairman of our board of directors, is a managing member of Baker Bros. Advisors (GP) LLC, which is the sole general partner of Baker Bros. Advisors LP. The interests of the Baker Entities and its affiliates may not always coincide with the interests of other shareholders, and any influence exerted over our business and affairs by these entities may not coincide with the wishes of other shareholders.</w:t>
      </w:r>
    </w:p>
    <w:p>
      <w:pPr>
        <w:pStyle w:val="TextBody"/>
        <w:bidi w:val="0"/>
        <w:spacing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In addition, the Baker Entities, together with our executive officers and directors and other holders of greater than five percent of our outstanding ordinary shares, beneficially owned approximately 48% of our voting power as of July 27, 2026. As a result, these shareholders in aggregate are able to exert substantial influence over our management and affairs and matters requiring shareholder approval, including the election of directors and approval of significant corporate transactions, such as mergers, consolidations or the sale of substantially all of our assets. Consequently, this concentration of ownership may result in our taking corporate actions that our other shareholders may not consider to be in their best interest. For example, it may have the effect of delaying, deferring or preventing a change in control, including a merger, consolidation, takeover or other business combination involving us or discourage a potential acquirer from making a tender offer or otherwise attempting to obtain control, which might affect the market price of our ADSs.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Because we do not anticipate paying any cash dividends on our ADSs in the foreseeable future</w:t>
      </w:r>
      <w:r>
        <w:rPr>
          <w:rFonts w:ascii="Times New Roman;Times;serif" w:hAnsi="Times New Roman;Times;serif"/>
          <w:i/>
          <w:sz w:val="20"/>
        </w:rPr>
        <w:t xml:space="preserve">, </w:t>
      </w:r>
      <w:r>
        <w:rPr>
          <w:rFonts w:ascii="Times New Roman;Times;serif" w:hAnsi="Times New Roman;Times;serif"/>
          <w:b/>
          <w:i/>
          <w:sz w:val="20"/>
        </w:rPr>
        <w:t>capital appreciation</w:t>
      </w:r>
      <w:r>
        <w:rPr>
          <w:rFonts w:ascii="Times New Roman;Times;serif" w:hAnsi="Times New Roman;Times;serif"/>
          <w:i/>
          <w:sz w:val="20"/>
        </w:rPr>
        <w:t xml:space="preserve">, </w:t>
      </w:r>
      <w:r>
        <w:rPr>
          <w:rFonts w:ascii="Times New Roman;Times;serif" w:hAnsi="Times New Roman;Times;serif"/>
          <w:b/>
          <w:i/>
          <w:sz w:val="20"/>
        </w:rPr>
        <w:t>if any</w:t>
      </w:r>
      <w:r>
        <w:rPr>
          <w:rFonts w:ascii="Times New Roman;Times;serif" w:hAnsi="Times New Roman;Times;serif"/>
          <w:i/>
          <w:sz w:val="20"/>
        </w:rPr>
        <w:t xml:space="preserve">, </w:t>
      </w:r>
      <w:r>
        <w:rPr>
          <w:rFonts w:ascii="Times New Roman;Times;serif" w:hAnsi="Times New Roman;Times;serif"/>
          <w:b/>
          <w:i/>
          <w:sz w:val="20"/>
        </w:rPr>
        <w:t>will be the sole source of gains for holders of our ADSs, and they may never receive a return on their investment</w:t>
      </w:r>
      <w:r>
        <w:rPr>
          <w:rFonts w:ascii="Times New Roman;Times;serif" w:hAnsi="Times New Roman;Times;serif"/>
          <w:i/>
          <w:sz w:val="20"/>
        </w:rPr>
        <w: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Under current English law, a company’s accumulated realized profits must exceed its accumulated realized losses (on a non-consolidated basis) before dividends can be declared and paid. Therefore, we must have distributable profits before declaring and paying a dividend. We have not paid dividends in the past on our ordinary shares. We intend to retain earnings, if any, for use in our business and do not anticipate paying any cash dividends in the foreseeable future. As a result, capital appreciation, if any, on our ADSs will be a holder’s sole source of gains for the foreseeable future, and holders will suffer a loss on their investment if they are unable to sell their ADSs at or above the original purchase price</w:t>
      </w:r>
      <w:r>
        <w:rPr>
          <w:rFonts w:ascii="Times New Roman;Times;serif" w:hAnsi="Times New Roman;Times;serif"/>
          <w:sz w:val="20"/>
          <w:shd w:fill="FFFFFF" w:val="clea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Risks Related to Our Incorporation Under the Laws of England and Wales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Claims of U</w:t>
      </w:r>
      <w:r>
        <w:rPr>
          <w:rFonts w:ascii="Times New Roman;Times;serif" w:hAnsi="Times New Roman;Times;serif"/>
          <w:i/>
          <w:sz w:val="20"/>
        </w:rPr>
        <w:t>.</w:t>
      </w:r>
      <w:r>
        <w:rPr>
          <w:rFonts w:ascii="Times New Roman;Times;serif" w:hAnsi="Times New Roman;Times;serif"/>
          <w:b/>
          <w:i/>
          <w:sz w:val="20"/>
        </w:rPr>
        <w:t>S</w:t>
      </w:r>
      <w:r>
        <w:rPr>
          <w:rFonts w:ascii="Times New Roman;Times;serif" w:hAnsi="Times New Roman;Times;serif"/>
          <w:i/>
          <w:sz w:val="20"/>
        </w:rPr>
        <w:t xml:space="preserve">. </w:t>
      </w:r>
      <w:r>
        <w:rPr>
          <w:rFonts w:ascii="Times New Roman;Times;serif" w:hAnsi="Times New Roman;Times;serif"/>
          <w:b/>
          <w:i/>
          <w:sz w:val="20"/>
        </w:rPr>
        <w:t>civil liabilities may not be enforceable against us</w:t>
      </w:r>
      <w:r>
        <w:rPr>
          <w:rFonts w:ascii="Times New Roman;Times;serif" w:hAnsi="Times New Roman;Times;serif"/>
          <w:i/>
          <w:sz w:val="20"/>
        </w:rPr>
        <w: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are incorporated under English law. Certain members of our board of directors and senior management are non-residents of the United States, and all or a substantial portion of our assets and the assets of such persons are located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outside the United States. As a result, it may not be possible to serve process on such persons or us in the United States or to enforce judgments obtained in U.S. courts against them or us based on civil liability provisions of the securities laws of the United States.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United States and the U.K. do not currently have a treaty providing for recognition and enforcement of judgments (other than arbitration awards) in civil and commercial matters. Consequently, a final judgment for payment given by a court in the United States, whether or not predicated solely upon U.S. securities laws, would not automatically be recognized or enforceable in the U.K. In addition, uncertainty exists as to whether U.K. courts would entertain original actions brought in the U.K. against us or our directors or senior management predicated upon the securities laws of the United States or any state in the United States. Any final and conclusive monetary judgment for a definite sum obtained against us in U.S. courts would be treated by the courts of the U.K. as a cause of action in itself and sued upon as a debt at common law so that no retrial of the issues would be necessary, provided that certain requirements are met. Whether these requirements are met in respect of a judgment based upon the civil liability provisions of the U.S. securities laws, including whether the award of monetary damages under such laws would constitute a penalty, is an issue for the court making such decision. If an English court gives judgment for the sum payable under a U.S. judgment, the English judgment will be enforceable by methods generally available for this purpose. These methods generally permit the English court discretion to prescribe the manner of enforcement.</w:t>
      </w:r>
    </w:p>
    <w:p>
      <w:pPr>
        <w:pStyle w:val="TextBody"/>
        <w:bidi w:val="0"/>
        <w:spacing w:before="0" w:after="0"/>
        <w:ind w:left="0" w:right="0" w:firstLine="720"/>
        <w:jc w:val="left"/>
        <w:rPr/>
      </w:pPr>
      <w:r>
        <w:rPr/>
        <w:t>​</w:t>
      </w:r>
    </w:p>
    <w:p>
      <w:pPr>
        <w:pStyle w:val="TextBody"/>
        <w:shd w:fill="FFFFFF" w:val="clear"/>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a result, U.S. investors may not be able to enforce against us or our senior management, board of directors or certain experts named herein who are residents of the United Kingdom or countries other than the United States any judgments obtained in U.S. courts in civil and commercial matters, including judgments under the U.S. federal securities laws.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If we are a passive foreign investment company, there could be adverse U</w:t>
      </w:r>
      <w:r>
        <w:rPr>
          <w:rFonts w:ascii="Times New Roman;Times;serif" w:hAnsi="Times New Roman;Times;serif"/>
          <w:i/>
          <w:sz w:val="20"/>
        </w:rPr>
        <w:t>.</w:t>
      </w:r>
      <w:r>
        <w:rPr>
          <w:rFonts w:ascii="Times New Roman;Times;serif" w:hAnsi="Times New Roman;Times;serif"/>
          <w:b/>
          <w:i/>
          <w:sz w:val="20"/>
        </w:rPr>
        <w:t>S</w:t>
      </w:r>
      <w:r>
        <w:rPr>
          <w:rFonts w:ascii="Times New Roman;Times;serif" w:hAnsi="Times New Roman;Times;serif"/>
          <w:i/>
          <w:sz w:val="20"/>
        </w:rPr>
        <w:t xml:space="preserve">. </w:t>
      </w:r>
      <w:r>
        <w:rPr>
          <w:rFonts w:ascii="Times New Roman;Times;serif" w:hAnsi="Times New Roman;Times;serif"/>
          <w:b/>
          <w:i/>
          <w:sz w:val="20"/>
        </w:rPr>
        <w:t>federal income tax consequences to U</w:t>
      </w:r>
      <w:r>
        <w:rPr>
          <w:rFonts w:ascii="Times New Roman;Times;serif" w:hAnsi="Times New Roman;Times;serif"/>
          <w:i/>
          <w:sz w:val="20"/>
        </w:rPr>
        <w:t>.</w:t>
      </w:r>
      <w:r>
        <w:rPr>
          <w:rFonts w:ascii="Times New Roman;Times;serif" w:hAnsi="Times New Roman;Times;serif"/>
          <w:b/>
          <w:i/>
          <w:sz w:val="20"/>
        </w:rPr>
        <w:t>S</w:t>
      </w:r>
      <w:r>
        <w:rPr>
          <w:rFonts w:ascii="Times New Roman;Times;serif" w:hAnsi="Times New Roman;Times;serif"/>
          <w:i/>
          <w:sz w:val="20"/>
        </w:rPr>
        <w:t xml:space="preserve">. </w:t>
      </w:r>
      <w:r>
        <w:rPr>
          <w:rFonts w:ascii="Times New Roman;Times;serif" w:hAnsi="Times New Roman;Times;serif"/>
          <w:b/>
          <w:i/>
          <w:sz w:val="20"/>
        </w:rPr>
        <w:t>holders</w:t>
      </w:r>
      <w:r>
        <w:rPr>
          <w:rFonts w:ascii="Times New Roman;Times;serif" w:hAnsi="Times New Roman;Times;serif"/>
          <w:i/>
          <w:sz w:val="20"/>
        </w:rPr>
        <w:t>.</w:t>
      </w:r>
    </w:p>
    <w:p>
      <w:pPr>
        <w:pStyle w:val="TextBody"/>
        <w:bidi w:val="0"/>
        <w:spacing w:before="0" w:after="0"/>
        <w:ind w:left="0" w:right="0" w:hanging="0"/>
        <w:jc w:val="left"/>
        <w:rPr/>
      </w:pPr>
      <w:r>
        <w:rPr/>
        <w:t>​</w:t>
      </w:r>
    </w:p>
    <w:p>
      <w:pPr>
        <w:pStyle w:val="TextBody"/>
        <w:pBd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Under the Code, we will be a passive foreign investment company, or PFIC, for any taxable year in which (1) 75% or more of our gross income consists of passive income or (2) 50% or more of the average quarterly value of our assets consists of assets that produce, or are held for the production of, passive income, including cash. For purposes of these tests, passive income includes dividends, interest, gains from the sale or exchange of investment property and certain rents and royalties. In addition, for purposes of the above calculations, a non-U.S. corporation that directly or indirectly owns at least 25% by value of the shares of another corporation is treated as holding and receiving directly its proportionate share of assets and income of such corporation. If we are a PFIC for any taxable year during which a United States person holds our shares, such U.S. shareholder may be subject to adverse tax consequences regardless of whether we continue to qualify as a PFIC, including ineligibility for any preferred tax rates on capital gains or on actual or deemed dividends, interest charges on certain taxes treated as deferred and additional reporting requirements.</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Based on our analysis of our income, assets, activities and market capitalization, we believe that we were a PFIC in the 2025 taxable year. In addition, no assurances can be provided that we will not be a PFIC for any future taxable year or that we have not been a PFIC in any prior taxable years. The determination of whether we are a PFIC is a fact-intensive determination made on an annual basis applying principles and methodologies that in some circumstances are unclear and subject to varying interpretation. As a result, there can be no assurance regarding if we will be PFIC or will not be a PFIC in the future. In addition, the total value of our assets for PFIC testing purposes may be determined in part by reference to the market price of our ordinary shares or ADSs from time to time, which may fluctuate considerably. Under the income test, our status as a PFIC depends on the composition of our income which will depend on the transactions we enter into and our corporate structure. In the event we are a PFIC, we intend to provide the information necessary for U.S. holders to make a qualified electing fund election.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We may be unable to use net operating loss and tax credit carryforwards and certain built-in losses to reduce future tax payments or benefit from favorable U</w:t>
      </w:r>
      <w:r>
        <w:rPr>
          <w:rFonts w:ascii="Times New Roman;Times;serif" w:hAnsi="Times New Roman;Times;serif"/>
          <w:i/>
          <w:sz w:val="20"/>
        </w:rPr>
        <w:t>.</w:t>
      </w:r>
      <w:r>
        <w:rPr>
          <w:rFonts w:ascii="Times New Roman;Times;serif" w:hAnsi="Times New Roman;Times;serif"/>
          <w:b/>
          <w:i/>
          <w:sz w:val="20"/>
        </w:rPr>
        <w:t>K</w:t>
      </w:r>
      <w:r>
        <w:rPr>
          <w:rFonts w:ascii="Times New Roman;Times;serif" w:hAnsi="Times New Roman;Times;serif"/>
          <w:i/>
          <w:sz w:val="20"/>
        </w:rPr>
        <w:t xml:space="preserve">. </w:t>
      </w:r>
      <w:r>
        <w:rPr>
          <w:rFonts w:ascii="Times New Roman;Times;serif" w:hAnsi="Times New Roman;Times;serif"/>
          <w:b/>
          <w:i/>
          <w:sz w:val="20"/>
        </w:rPr>
        <w:t>tax legislation</w:t>
      </w:r>
      <w:r>
        <w:rPr>
          <w:rFonts w:ascii="Times New Roman;Times;serif" w:hAnsi="Times New Roman;Times;serif"/>
          <w:i/>
          <w:sz w:val="20"/>
        </w:rPr>
        <w: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an entity incorporated and tax resident in the U.K., we are subject to U.K. corporate taxation. Due to the nature of our business, we have generated losses since inception and therefore have not paid any U.K. corporation tax. Subject to numerous utilization criteria and restrictions (including the Corporate Income Loss Restriction and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Capital Loss Restriction that, broadly, restrict the amount of carried forward losses that can be utilized to 50% of group profits or gains arising above £5.0 million per tax year, we expect losses to be eligible for carry forward and utilization against future operating profits. In addition, if we were to have a major change in the nature of the conduct or the conduct of our trade, loss carryforwards may be restricted or extinguished.</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a group that carries out extensive research and development, or R&amp;D, activities, we seek to benefit from the U.K. R&amp;D tax credit regime. In respect of accounting periods in which we qualify as a SME and in which our relevant R&amp;D expenditure represents 30% or more of the total relevant expenditure (meaning we also qualify as “R&amp;D intensive” during such accounting period), we may, under this regime, surrender the trading losses that arise from our R&amp;D activities for a cash rebate of up to 26.97% of qualifying R&amp;D expenditure. Accordingly, if we cease to qualify as an R&amp;D-intensive SME in the future, we will either cease to be able to claim cash rebates in respect of our R&amp;D activities, or only be able to receive cash payments or other tax relief (under other provisions of the U.K. R&amp;D tax credit regime) at a significantly lower rate than at present. Further, the regime’s rules are complex, and if a tax authority were to challenge or seek to disallow our claims (in whole or in part), for example by asserting that we do not (or the relevant expenditure does not) meet the technical conditions to be granted tax credits (or cash rebates), then such challenge or disallowance, if successful, could have a material impact on our cash-flow and financial performance. In addition, future changes to the U.K. R&amp;D tax credit regime may mean that we no longer qualify for it or have a material impact on the extent to which we can make claims (or benefit from them).</w:t>
      </w:r>
    </w:p>
    <w:p>
      <w:pPr>
        <w:pStyle w:val="TextBody"/>
        <w:bidi w:val="0"/>
        <w:spacing w:before="0" w:after="0"/>
        <w:ind w:left="0" w:right="0" w:firstLine="72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may benefit in the future from the United Kingdom’s “patent box” regime, which allows certain profits attributable to revenues from patented products (and other qualifying income) to be taxed at an effective rate of 10% by giving an additional tax deduction. We are the exclusive licensee or owner of several patent applications which, if issued, would cover our product candidates, and accordingly, future upfront fees, milestone fees, product revenues and royalties could be eligible for this tax deduction. When taken in combination with the enhanced relief available on our R&amp;D expenditures, we expect a long-term rate of corporation tax lower than the statutory rate to apply to us. If, however, there are unexpected adverse changes to the U.K. R&amp;D tax relief programs or the “patent box” regime, or for any reason we are unable to qualify for such advantageous tax legislation, or we are unable to use net operating loss and tax credit carryforwards and certain built-in losses to reduce future tax payments then our business, results of operations and financial condition may be adversely affected. This may impact our ongoing requirement for investment and the timeframes within which additional investment is required.</w:t>
      </w:r>
    </w:p>
    <w:p>
      <w:pPr>
        <w:pStyle w:val="TextBody"/>
        <w:shd w:fill="FFFFFF" w:val="clear"/>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Future changes to tax laws could materially adversely affect our company and reduce net returns to our shareholders</w:t>
      </w:r>
      <w:r>
        <w:rPr>
          <w:rFonts w:ascii="Times New Roman;Times;serif" w:hAnsi="Times New Roman;Times;serif"/>
          <w:i/>
          <w:sz w:val="20"/>
        </w:rPr>
        <w: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tax treatment of the company is, and our ADSs and ordinary shares are, subject to changes in tax laws, regulations and treaties, or the interpretation thereof, tax policy initiatives and reforms under consideration or being implemented by tax authorities in jurisdictions in which we operate, including in connection with tax policy initiatives and reforms led by the Organization for Economic Co-Operation and Development’s, or OECD, Base Erosion and Profit Shifting, or BEPS, Project (including “BEPS 2.0”) and the European Commission. Such changes may include (but are not limited to) the taxation of operating income, investment income, dividends received or (in the specific context of withholding tax) dividends paid, or the stamp duty or stamp duty reserve tax treatment of our ADSs or ordinary shares.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IRA includes a minimum tax equal to 15% of the adjusted financial statement income of certain corporations, as well as a 1% excise tax on share buybacks. In addition, </w:t>
      </w:r>
      <w:r>
        <w:rPr>
          <w:rFonts w:ascii="Times New Roman;Times;serif" w:hAnsi="Times New Roman;Times;serif"/>
          <w:sz w:val="20"/>
          <w:shd w:fill="FFFFFF" w:val="clear"/>
        </w:rPr>
        <w:t xml:space="preserve">the OBBBA includes provisions affecting corporate tax rates on specified eligible income, timing of tax deductibility of depreciation, interest expense and research and development costs, and the taxation of foreign income. </w:t>
      </w:r>
      <w:r>
        <w:rPr>
          <w:rFonts w:ascii="Times New Roman;Times;serif" w:hAnsi="Times New Roman;Times;serif"/>
          <w:sz w:val="20"/>
        </w:rPr>
        <w:t>For example, for tax years beginning after December 31, 2024, the OBBBA restores the tax deductibility of domestic research and development expenses in the year incurred, which expenses had been required under prior legislation to be capitalized and subsequently amortized over five years. The OBBBA did not change the tax treatment of expenses incurred in research and development activities conducted outside the United States, which expenses continue to be required to be capitalized and amortized over 15 years.</w:t>
      </w:r>
      <w:r>
        <w:rPr>
          <w:rFonts w:ascii="Times New Roman;Times;serif" w:hAnsi="Times New Roman;Times;serif"/>
          <w:sz w:val="20"/>
          <w:shd w:fill="FFFFFF" w:val="clear"/>
        </w:rPr>
        <w:t xml:space="preserve"> </w:t>
      </w:r>
      <w:r>
        <w:rPr>
          <w:rFonts w:ascii="Times New Roman;Times;serif" w:hAnsi="Times New Roman;Times;serif"/>
          <w:sz w:val="20"/>
        </w:rPr>
        <w:t xml:space="preserve">Future guidance from the Internal Revenue Service and other tax authorities with respect to any legislation may affect us, and certain aspects of such legislation could be repealed or modified in future legislation or sunset in future years. We are unable to predict what tax reform may be proposed or enacted in the future or what effect such changes would have on our business, but such changes, to the extent they are brought into tax legislation, regulations, policies or practices, could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affect our financial position and overall or effective tax rates in the future in countries where we have operations, reduce post-tax returns to our shareholders, and increase the complexity, burden and cost of tax compliance</w:t>
      </w:r>
      <w:r>
        <w:rPr>
          <w:rFonts w:ascii="Times New Roman;Times;serif" w:hAnsi="Times New Roman;Times;serif"/>
          <w:sz w:val="20"/>
          <w:shd w:fill="FFFFFF" w:val="clear"/>
        </w:rPr>
        <w:t xml:space="preserv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Tax authorities may disagree with our positions and conclusions regarding certain tax positions,</w:t>
      </w:r>
      <w:r>
        <w:rPr>
          <w:rFonts w:ascii="Times New Roman;Times;serif" w:hAnsi="Times New Roman;Times;serif"/>
          <w:sz w:val="20"/>
        </w:rPr>
        <w:t xml:space="preserve"> </w:t>
      </w:r>
      <w:r>
        <w:rPr>
          <w:rFonts w:ascii="Times New Roman;Times;serif" w:hAnsi="Times New Roman;Times;serif"/>
          <w:b/>
          <w:i/>
          <w:sz w:val="20"/>
        </w:rPr>
        <w:t>or may apply existing rules in an unforeseen manner,</w:t>
      </w:r>
      <w:r>
        <w:rPr>
          <w:rFonts w:ascii="Times New Roman;Times;serif" w:hAnsi="Times New Roman;Times;serif"/>
          <w:sz w:val="20"/>
        </w:rPr>
        <w:t xml:space="preserve"> </w:t>
      </w:r>
      <w:r>
        <w:rPr>
          <w:rFonts w:ascii="Times New Roman;Times;serif" w:hAnsi="Times New Roman;Times;serif"/>
          <w:b/>
          <w:i/>
          <w:sz w:val="20"/>
        </w:rPr>
        <w:t>resulting in unanticipated costs</w:t>
      </w:r>
      <w:r>
        <w:rPr>
          <w:rFonts w:ascii="Times New Roman;Times;serif" w:hAnsi="Times New Roman;Times;serif"/>
          <w:i/>
          <w:sz w:val="20"/>
        </w:rPr>
        <w:t xml:space="preserve">, </w:t>
      </w:r>
      <w:r>
        <w:rPr>
          <w:rFonts w:ascii="Times New Roman;Times;serif" w:hAnsi="Times New Roman;Times;serif"/>
          <w:b/>
          <w:i/>
          <w:sz w:val="20"/>
        </w:rPr>
        <w:t>taxes or non-realization of expected benefits</w:t>
      </w:r>
      <w:r>
        <w:rPr>
          <w:rFonts w:ascii="Times New Roman;Times;serif" w:hAnsi="Times New Roman;Times;serif"/>
          <w:i/>
          <w:sz w:val="20"/>
        </w:rPr>
        <w:t>.</w:t>
      </w:r>
    </w:p>
    <w:p>
      <w:pPr>
        <w:pStyle w:val="TextBody"/>
        <w:bidi w:val="0"/>
        <w:spacing w:before="0" w:after="0"/>
        <w:ind w:left="0" w:right="0" w:hanging="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 tax authority may disagree with tax positions that we have taken, which could result in increased tax liabilities. For example, while we believe that we operate in compliance with applicable transfer pricing laws and intend to continue to do so, our transfer pricing procedures are not binding on applicable tax authorities. HMRC, the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pStyle w:val="TextBody"/>
        <w:bidi w:val="0"/>
        <w:spacing w:before="0" w:after="0"/>
        <w:ind w:left="0" w:right="0" w:firstLine="720"/>
        <w:jc w:val="left"/>
        <w:rPr/>
      </w:pPr>
      <w:r>
        <w:rPr/>
        <w:t>​</w:t>
      </w:r>
    </w:p>
    <w:p>
      <w:pPr>
        <w:pStyle w:val="TextBody"/>
        <w:bidi w:val="0"/>
        <w:spacing w:before="0" w:after="160"/>
        <w:ind w:left="0" w:right="0" w:hanging="0"/>
        <w:jc w:val="left"/>
        <w:rPr>
          <w:rFonts w:ascii="Times New Roman;Times;serif" w:hAnsi="Times New Roman;Times;serif"/>
          <w:b/>
          <w:i/>
          <w:sz w:val="20"/>
        </w:rPr>
      </w:pPr>
      <w:r>
        <w:rPr>
          <w:rFonts w:ascii="Times New Roman;Times;serif" w:hAnsi="Times New Roman;Times;serif"/>
          <w:b/>
          <w:i/>
          <w:sz w:val="20"/>
        </w:rPr>
        <w:t xml:space="preserve">Provisions in the U.K. City Code on Takeovers and Mergers that may have anti-takeover effects do not apply to us. </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Under transitional provisions that apply until February 2, 2027, the U.K. City Code on Takeovers and Mergers, or the Takeover Code, can apply to an offer for, among other things, a public company whose registered office is in the United Kingdom (but is not listed in the United Kingdom) if the company is considered by the Panel on Takeovers and Mergers, or the Takeover Panel, to have its place of central management and control in the United Kingdom (or the Channel Islands or the Isle of Man). This is known as the “residency test.” The test for central management and control under the Takeover Code is different from that used by the U.K. tax authorities. Under the Takeover Code, the Takeover Panel will determine whether we have our place of central management and control in the United Kingdom by looking at various factors, primarily where the directors are resident.</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In September 2019, the Takeover Panel Executive confirmed that, based on our current circumstances, we are not subject to the Takeover Code. As a result, our shareholders are not entitled to the benefit of certain takeover offer protections provided under the Takeover Code. We believe that this position is unlikely to change at any time in the near future but, in accordance with good practice, we will review the situation on a regular basis and consult with the Takeover Panel if there is any change in our circumstances which may have a bearing on whether the Takeover Panel would determine our place of central management and control to be in the United Kingdom.</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Following the end of the transitional period, with effect from February 3, 2027, the “residency test” will be abolished in its entirety and we expect we will no longer be subject to the jurisdiction of the Takeover Code at all from that time, unless our securities are listed in the United Kingdom.</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The rights of our shareholders may differ from the rights typically offered to shareholders of a U</w:t>
      </w:r>
      <w:r>
        <w:rPr>
          <w:rFonts w:ascii="Times New Roman;Times;serif" w:hAnsi="Times New Roman;Times;serif"/>
          <w:i/>
          <w:sz w:val="20"/>
        </w:rPr>
        <w:t>.</w:t>
      </w:r>
      <w:r>
        <w:rPr>
          <w:rFonts w:ascii="Times New Roman;Times;serif" w:hAnsi="Times New Roman;Times;serif"/>
          <w:b/>
          <w:i/>
          <w:sz w:val="20"/>
        </w:rPr>
        <w:t>S</w:t>
      </w:r>
      <w:r>
        <w:rPr>
          <w:rFonts w:ascii="Times New Roman;Times;serif" w:hAnsi="Times New Roman;Times;serif"/>
          <w:i/>
          <w:sz w:val="20"/>
        </w:rPr>
        <w:t xml:space="preserve">. </w:t>
      </w:r>
      <w:r>
        <w:rPr>
          <w:rFonts w:ascii="Times New Roman;Times;serif" w:hAnsi="Times New Roman;Times;serif"/>
          <w:b/>
          <w:i/>
          <w:sz w:val="20"/>
        </w:rPr>
        <w:t>corporation</w:t>
      </w:r>
      <w:r>
        <w:rPr>
          <w:rFonts w:ascii="Times New Roman;Times;serif" w:hAnsi="Times New Roman;Times;serif"/>
          <w:i/>
          <w:sz w:val="20"/>
        </w:rPr>
        <w: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are incorporated under English law. The rights of holders of ordinary shares and, therefore, certain of the rights of holders of ADSs, are governed by English law, including the provisions of the U.K. Companies Act 2006, or the Companies Act, and by our Articles of Association. These rights differ in certain respects from the rights of shareholders in typical U.S. corporations. The principal differences include the following:</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English law and our articles of association, each shareholder present at a meeting has only one vote unless demand is made for a vote on a poll, in which case each holder gets one vote per share owned. Under U.S. law, each shareholder typically is entitled to one vote per share at all meetings;</w:t>
            </w:r>
          </w:p>
        </w:tc>
      </w:tr>
    </w:tbl>
    <w:p>
      <w:pPr>
        <w:pStyle w:val="TextBody"/>
        <w:bidi w:val="0"/>
        <w:spacing w:before="0" w:after="0"/>
        <w:ind w:left="36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English law, the number of shares determines the number of votes a holder may cast only on a poll. However, the voting rights of ADSs are also governed by the provisions of a deposit agreement with our depositary bank;</w:t>
            </w:r>
          </w:p>
        </w:tc>
      </w:tr>
    </w:tbl>
    <w:p>
      <w:pPr>
        <w:pStyle w:val="TextBody"/>
        <w:bidi w:val="0"/>
        <w:spacing w:before="0" w:after="0"/>
        <w:ind w:left="36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English law, subject to certain exceptions and disapplications, each shareholder generally has preemptive rights to subscribe on a proportionate basis to any issuance of ordinary shares or rights to subscribe for, or to convert securities into, ordinary shares for cash. Under U.S. law, shareholders generally do not have preemptive rights unless specifically granted in the certificate of incorporation or otherwise;</w:t>
            </w:r>
          </w:p>
        </w:tc>
      </w:tr>
    </w:tbl>
    <w:p>
      <w:pPr>
        <w:pStyle w:val="TextBody"/>
        <w:bidi w:val="0"/>
        <w:spacing w:before="0" w:after="0"/>
        <w:ind w:left="36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English law and our articles of association, certain matters require the approval of 75% of the shareholders who vote (in person or by proxy) on the relevant resolution (or on a poll of shareholders representing 75% of the ordinary shares voting (in person or by proxy)), including amendments to the articles of association. This may make it more difficult for us to complete corporate transactions deemed advisable by our board of directors. Under U.S. law, generally only majority shareholder approval is required to amend the certificate of incorporation or to approve other significant transactions;</w:t>
            </w:r>
          </w:p>
        </w:tc>
      </w:tr>
    </w:tbl>
    <w:p>
      <w:pPr>
        <w:pStyle w:val="TextBody"/>
        <w:pBdr/>
        <w:bidi w:val="0"/>
        <w:spacing w:before="0" w:after="0"/>
        <w:ind w:left="720" w:right="0" w:hanging="36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United Kingdom, takeovers may be structured as takeover offers or as schemes of arrangement. Under English law, if we were to be subject to the Takeover Code, a bidder seeking to acquire us by means of a takeover offer would need to make an offer for all of our outstanding ordinary shares/ADSs. If acceptances are not received for 90% or more of the ordinary shares/ADSs under the offer, under English law, the bidder cannot complete a “squeeze out” to obtain 100% control of us. Accordingly, acceptances of 90% of our outstanding ordinary shares/ADSs will likely be a condition in any takeover offer to acquire us, not 50% as is more common in tender offers for corporations organized under Delaware law. By contrast, a scheme of arrangement, the successful completion of which would result in a bidder obtaining 100% control of us, requires the approval of a majority of shareholders voting at the meeting and representing 75% of the ordinary shares voting, as well as the sanction of the U.K. court; and</w:t>
            </w:r>
          </w:p>
        </w:tc>
      </w:tr>
    </w:tbl>
    <w:p>
      <w:pPr>
        <w:pStyle w:val="TextBody"/>
        <w:bidi w:val="0"/>
        <w:spacing w:before="0" w:after="0"/>
        <w:ind w:left="36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English law and our articles of association,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 certain transfers of the shares, withholding of dividends and loss of voting rights. Comparable provisions generally do not exist under U.S. law.</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General Risks</w:t>
        <w:br/>
      </w:r>
      <w:r>
        <w:rPr>
          <w:rFonts w:ascii="Times New Roman;Times;serif" w:hAnsi="Times New Roman;Times;serif"/>
          <w:sz w:val="20"/>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If we fail to maintain an effective system of internal control over financial reporting</w:t>
      </w:r>
      <w:r>
        <w:rPr>
          <w:rFonts w:ascii="Times New Roman;Times;serif" w:hAnsi="Times New Roman;Times;serif"/>
          <w:i/>
          <w:sz w:val="20"/>
        </w:rPr>
        <w:t xml:space="preserve">, </w:t>
      </w:r>
      <w:r>
        <w:rPr>
          <w:rFonts w:ascii="Times New Roman;Times;serif" w:hAnsi="Times New Roman;Times;serif"/>
          <w:b/>
          <w:i/>
          <w:sz w:val="20"/>
        </w:rPr>
        <w:t>we may not be able to accurately report our financial results or prevent fraud</w:t>
      </w:r>
      <w:r>
        <w:rPr>
          <w:rFonts w:ascii="Times New Roman;Times;serif" w:hAnsi="Times New Roman;Times;serif"/>
          <w:i/>
          <w:sz w:val="20"/>
        </w:rPr>
        <w:t xml:space="preserve">. </w:t>
      </w:r>
      <w:r>
        <w:rPr>
          <w:rFonts w:ascii="Times New Roman;Times;serif" w:hAnsi="Times New Roman;Times;serif"/>
          <w:b/>
          <w:i/>
          <w:sz w:val="20"/>
        </w:rPr>
        <w:t>As a result</w:t>
      </w:r>
      <w:r>
        <w:rPr>
          <w:rFonts w:ascii="Times New Roman;Times;serif" w:hAnsi="Times New Roman;Times;serif"/>
          <w:i/>
          <w:sz w:val="20"/>
        </w:rPr>
        <w:t xml:space="preserve">, </w:t>
      </w:r>
      <w:r>
        <w:rPr>
          <w:rFonts w:ascii="Times New Roman;Times;serif" w:hAnsi="Times New Roman;Times;serif"/>
          <w:b/>
          <w:i/>
          <w:sz w:val="20"/>
        </w:rPr>
        <w:t>shareholders could lose confidence in our financial and other public reporting</w:t>
      </w:r>
      <w:r>
        <w:rPr>
          <w:rFonts w:ascii="Times New Roman;Times;serif" w:hAnsi="Times New Roman;Times;serif"/>
          <w:i/>
          <w:sz w:val="20"/>
        </w:rPr>
        <w:t xml:space="preserve">, </w:t>
      </w:r>
      <w:r>
        <w:rPr>
          <w:rFonts w:ascii="Times New Roman;Times;serif" w:hAnsi="Times New Roman;Times;serif"/>
          <w:b/>
          <w:i/>
          <w:sz w:val="20"/>
        </w:rPr>
        <w:t>which would harm our business and the trading price of our ADSs</w:t>
      </w:r>
      <w:r>
        <w:rPr>
          <w:rFonts w:ascii="Times New Roman;Times;serif" w:hAnsi="Times New Roman;Times;serif"/>
          <w:i/>
          <w:sz w:val="20"/>
        </w:rPr>
        <w: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Our management is required to assess the effectiveness of our controls over financial reporting annually. Pursuant to Section 404, we are also required to furnish a report by our management on our internal control over financial reporting, including an attestation report on internal control over financial reporting issued by our independent registered public accounting firm.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consolidated financial statements or identify other areas for further attention or improvement. Inferior internal controls could also cause investors to lose confidence in our reported financial information, which could have a negative effect on the trading price of our ADSs.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Our disclosure controls and procedures may not prevent or detect all errors or acts of fraud</w:t>
      </w:r>
      <w:r>
        <w:rPr>
          <w:rFonts w:ascii="Times New Roman;Times;serif" w:hAnsi="Times New Roman;Times;serif"/>
          <w:i/>
          <w:sz w:val="20"/>
        </w:rPr>
        <w:t>.</w:t>
      </w:r>
    </w:p>
    <w:p>
      <w:pPr>
        <w:pStyle w:val="TextBody"/>
        <w:bidi w:val="0"/>
        <w:spacing w:before="0" w:after="0"/>
        <w:ind w:left="0" w:right="0" w:hanging="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are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We could be subject to securities class action litigation</w:t>
      </w:r>
      <w:r>
        <w:rPr>
          <w:rFonts w:ascii="Times New Roman;Times;serif" w:hAnsi="Times New Roman;Times;serif"/>
          <w:i/>
          <w:sz w:val="20"/>
        </w:rPr>
        <w: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resources, which could harm our business.</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If securities or industry analysts do not publish research or publish inaccurate or unfavorable research about our business</w:t>
      </w:r>
      <w:r>
        <w:rPr>
          <w:rFonts w:ascii="Times New Roman;Times;serif" w:hAnsi="Times New Roman;Times;serif"/>
          <w:i/>
          <w:sz w:val="20"/>
        </w:rPr>
        <w:t xml:space="preserve">, </w:t>
      </w:r>
      <w:r>
        <w:rPr>
          <w:rFonts w:ascii="Times New Roman;Times;serif" w:hAnsi="Times New Roman;Times;serif"/>
          <w:b/>
          <w:i/>
          <w:sz w:val="20"/>
        </w:rPr>
        <w:t>our ADS price and trading volume could decline</w:t>
      </w:r>
      <w:r>
        <w:rPr>
          <w:rFonts w:ascii="Times New Roman;Times;serif" w:hAnsi="Times New Roman;Times;serif"/>
          <w:i/>
          <w:sz w:val="20"/>
        </w:rPr>
        <w: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trading market for our ADSs depends in part on the research and reports that securities or industry analysts publish about us or our business. We do not have any control over these analysts. Although we have obtained research coverage from certain analysts, there can be no assurance that analysts will continue to cover us or provide favorable coverage. If one or more analysts downgrade our ADSs or change their opinion of our ADSs, our ADS price would likely decline. In addition, if one or more analysts cease coverage of our company or fail to regularly publish reports on us, we could lose visibility in the financial markets, which could cause our ADS price or trading volume to decline.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17" w:name="Item2UnregisteredSalesofEquity_27708"/>
      <w:bookmarkStart w:id="1018" w:name="_22e0af22_ff4e_418a_aada_4b47e2da1f96"/>
      <w:bookmarkEnd w:id="1017"/>
      <w:bookmarkEnd w:id="1018"/>
      <w:r>
        <w:rPr>
          <w:rFonts w:ascii="Times New Roman;Times;serif" w:hAnsi="Times New Roman;Times;serif"/>
          <w:b/>
          <w:sz w:val="20"/>
        </w:rPr>
        <w:t>Item 2.  Unregistered Sales of Equity Securities and Use of Proceeds.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1019" w:name="Item3DefaultsUponSeniorSecurities_837128"/>
      <w:bookmarkStart w:id="1020" w:name="_7007e0ba_00ed_4b85_a988_bc3822c7eac2"/>
      <w:bookmarkEnd w:id="1019"/>
      <w:bookmarkEnd w:id="1020"/>
      <w:r>
        <w:rPr>
          <w:rFonts w:ascii="Times New Roman;Times;serif" w:hAnsi="Times New Roman;Times;serif"/>
          <w:b/>
          <w:sz w:val="20"/>
        </w:rPr>
        <w:t>Item 3.  Defaults Upon Senior Securities.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1021" w:name="Item4MineSafetyDisclosures_806847"/>
      <w:bookmarkStart w:id="1022" w:name="_aaf8ae71_aa0c_49b0_b994_8e83e8079656"/>
      <w:bookmarkEnd w:id="1021"/>
      <w:bookmarkEnd w:id="1022"/>
      <w:r>
        <w:rPr>
          <w:rFonts w:ascii="Times New Roman;Times;serif" w:hAnsi="Times New Roman;Times;serif"/>
          <w:b/>
          <w:sz w:val="20"/>
        </w:rPr>
        <w:t>Item 4.  Mine Safety Disclosures.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1023" w:name="_7410ecde_fdc0_4b71_91d9_9d1b66fb56d5"/>
      <w:bookmarkStart w:id="1024" w:name="Item5OtherInformation"/>
      <w:bookmarkEnd w:id="1023"/>
      <w:bookmarkEnd w:id="1024"/>
      <w:r>
        <w:rPr>
          <w:rFonts w:ascii="Times New Roman;Times;serif" w:hAnsi="Times New Roman;Times;serif"/>
          <w:b/>
          <w:sz w:val="20"/>
        </w:rPr>
        <w:t>Item 5.  Other Information.</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During the three months ended June 30, 2026, none of our directors and officers (as defined in Rule 16a-1(f) under the Exchange Act) adopted or terminated any contracts, instructions or written plans for the purchase or sale of our securities.</w:t>
      </w:r>
    </w:p>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25" w:name="Item6Exhibits_105385"/>
      <w:bookmarkStart w:id="1026" w:name="_e9d34eab_cb1e_46d2_9dd0_66d44825f723"/>
      <w:bookmarkEnd w:id="1025"/>
      <w:bookmarkEnd w:id="1026"/>
      <w:r>
        <w:rPr>
          <w:rFonts w:ascii="Times New Roman;Times;serif" w:hAnsi="Times New Roman;Times;serif"/>
          <w:b/>
          <w:sz w:val="20"/>
        </w:rPr>
        <w:t>Item 6.  Exhibits.</w:t>
      </w:r>
    </w:p>
    <w:tbl>
      <w:tblPr>
        <w:tblW w:w="10205" w:type="dxa"/>
        <w:jc w:val="left"/>
        <w:tblInd w:w="0" w:type="dxa"/>
        <w:tblLayout w:type="fixed"/>
        <w:tblCellMar>
          <w:top w:w="0" w:type="dxa"/>
          <w:left w:w="0" w:type="dxa"/>
          <w:bottom w:w="0" w:type="dxa"/>
          <w:right w:w="0" w:type="dxa"/>
        </w:tblCellMar>
      </w:tblPr>
      <w:tblGrid>
        <w:gridCol w:w="1276"/>
        <w:gridCol w:w="346"/>
        <w:gridCol w:w="8583"/>
      </w:tblGrid>
      <w:tr>
        <w:trPr/>
        <w:tc>
          <w:tcPr>
            <w:tcW w:w="127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405130" cy="29210"/>
                      <wp:effectExtent l="0" t="0" r="0" b="0"/>
                      <wp:wrapNone/>
                      <wp:docPr id="313" name="Frame313"/>
                      <a:graphic xmlns:a="http://schemas.openxmlformats.org/drawingml/2006/main">
                        <a:graphicData uri="http://schemas.microsoft.com/office/word/2010/wordprocessingShape">
                          <wps:wsp>
                            <wps:cNvSpPr txBox="1"/>
                            <wps:spPr>
                              <a:xfrm>
                                <a:off x="0" y="0"/>
                                <a:ext cx="40513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9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109855" cy="29210"/>
                      <wp:effectExtent l="0" t="0" r="0" b="0"/>
                      <wp:wrapNone/>
                      <wp:docPr id="314" name="Frame314"/>
                      <a:graphic xmlns:a="http://schemas.openxmlformats.org/drawingml/2006/main">
                        <a:graphicData uri="http://schemas.microsoft.com/office/word/2010/wordprocessingShape">
                          <wps:wsp>
                            <wps:cNvSpPr txBox="1"/>
                            <wps:spPr>
                              <a:xfrm>
                                <a:off x="0" y="0"/>
                                <a:ext cx="1098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583"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724785" cy="29210"/>
                      <wp:effectExtent l="0" t="0" r="0" b="0"/>
                      <wp:wrapNone/>
                      <wp:docPr id="315" name="Frame315"/>
                      <a:graphic xmlns:a="http://schemas.openxmlformats.org/drawingml/2006/main">
                        <a:graphicData uri="http://schemas.microsoft.com/office/word/2010/wordprocessingShape">
                          <wps:wsp>
                            <wps:cNvSpPr txBox="1"/>
                            <wps:spPr>
                              <a:xfrm>
                                <a:off x="0" y="0"/>
                                <a:ext cx="27247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276" w:type="dxa"/>
            <w:tcBorders>
              <w:bottom w:val="single" w:sz="2" w:space="0" w:color="000000"/>
            </w:tcBorders>
            <w:tcMar>
              <w:bottom w:w="28" w:type="dxa"/>
            </w:tcMar>
            <w:vAlign w:val="center"/>
          </w:tcPr>
          <w:p>
            <w:pPr>
              <w:pStyle w:val="TableHeading"/>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Exhibit Number</w:t>
            </w:r>
          </w:p>
        </w:tc>
        <w:tc>
          <w:tcPr>
            <w:tcW w:w="346" w:type="dxa"/>
            <w:tcBorders>
              <w:bottom w:val="single" w:sz="2" w:space="0" w:color="000000"/>
            </w:tcBorders>
            <w:tcMar>
              <w:bottom w:w="28" w:type="dxa"/>
            </w:tcMar>
            <w:vAlign w:val="center"/>
          </w:tcPr>
          <w:p>
            <w:pPr>
              <w:pStyle w:val="TableHeading"/>
              <w:bidi w:val="0"/>
              <w:spacing w:before="0" w:after="0"/>
              <w:ind w:left="0" w:right="0" w:hanging="0"/>
              <w:jc w:val="left"/>
              <w:rPr/>
            </w:pPr>
            <w:r>
              <w:rPr/>
              <w:t>  ​ ​ ​</w:t>
            </w:r>
          </w:p>
        </w:tc>
        <w:tc>
          <w:tcPr>
            <w:tcW w:w="8583"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r>
      <w:tr>
        <w:trPr/>
        <w:tc>
          <w:tcPr>
            <w:tcW w:w="127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583"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1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0"/>
              <w:ind w:left="0" w:right="0" w:hanging="0"/>
              <w:jc w:val="left"/>
              <w:rPr/>
            </w:pPr>
            <w:r>
              <w:rPr/>
              <w:t>​</w:t>
            </w:r>
          </w:p>
        </w:tc>
        <w:tc>
          <w:tcPr>
            <w:tcW w:w="8583" w:type="dxa"/>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Articles of Association, dated May 16, 2024 (incorporated by reference to Exhibit 3.1 to the Quarterly Report on Form 10-Q (File No. 001-38916) filed with the Securities and Exchange Commission on August 6, 2024).</w:t>
              </w:r>
            </w:hyperlink>
          </w:p>
        </w:tc>
      </w:tr>
      <w:tr>
        <w:trPr/>
        <w:tc>
          <w:tcPr>
            <w:tcW w:w="1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583" w:type="dxa"/>
            <w:tcBorders/>
            <w:vAlign w:val="center"/>
          </w:tcPr>
          <w:p>
            <w:pPr>
              <w:pStyle w:val="TableContents"/>
              <w:bidi w:val="0"/>
              <w:spacing w:before="0" w:after="0"/>
              <w:ind w:left="0" w:right="0" w:hanging="0"/>
              <w:jc w:val="left"/>
              <w:rPr/>
            </w:pPr>
            <w:r>
              <w:rPr/>
              <w:t>​</w:t>
            </w:r>
          </w:p>
        </w:tc>
      </w:tr>
      <w:tr>
        <w:trPr/>
        <w:tc>
          <w:tcPr>
            <w:tcW w:w="1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left"/>
              <w:rPr/>
            </w:pPr>
            <w:r>
              <w:rPr/>
              <w:t>​</w:t>
            </w:r>
          </w:p>
        </w:tc>
        <w:tc>
          <w:tcPr>
            <w:tcW w:w="8583" w:type="dxa"/>
            <w:tcBorders/>
            <w:vAlign w:val="center"/>
          </w:tcPr>
          <w:p>
            <w:pPr>
              <w:pStyle w:val="TableContents"/>
              <w:bidi w:val="0"/>
              <w:spacing w:before="0" w:after="0"/>
              <w:ind w:left="0" w:right="0" w:hanging="0"/>
              <w:jc w:val="left"/>
              <w:rPr/>
            </w:pPr>
            <w:hyperlink w:anchor="bcyc-20260630xex10d1.htm">
              <w:r>
                <w:rPr>
                  <w:rStyle w:val="InternetLink"/>
                  <w:rFonts w:ascii="Times New Roman;Times;serif" w:hAnsi="Times New Roman;Times;serif"/>
                  <w:b w:val="false"/>
                  <w:i w:val="false"/>
                  <w:caps w:val="false"/>
                  <w:smallCaps w:val="false"/>
                  <w:sz w:val="20"/>
                </w:rPr>
                <w:t>Consulting Agreement, dated June 17, 2026, by and between Bicycle Therapeutics Inc. and Janice Bourque.</w:t>
              </w:r>
            </w:hyperlink>
          </w:p>
        </w:tc>
      </w:tr>
      <w:tr>
        <w:trPr/>
        <w:tc>
          <w:tcPr>
            <w:tcW w:w="1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583" w:type="dxa"/>
            <w:tcBorders/>
            <w:vAlign w:val="center"/>
          </w:tcPr>
          <w:p>
            <w:pPr>
              <w:pStyle w:val="TableContents"/>
              <w:bidi w:val="0"/>
              <w:spacing w:before="0" w:after="0"/>
              <w:ind w:left="0" w:right="0" w:hanging="0"/>
              <w:jc w:val="left"/>
              <w:rPr/>
            </w:pPr>
            <w:r>
              <w:rPr/>
              <w:t>​</w:t>
            </w:r>
          </w:p>
        </w:tc>
      </w:tr>
      <w:tr>
        <w:trPr/>
        <w:tc>
          <w:tcPr>
            <w:tcW w:w="1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46" w:type="dxa"/>
            <w:tcBorders/>
            <w:vAlign w:val="center"/>
          </w:tcPr>
          <w:p>
            <w:pPr>
              <w:pStyle w:val="TableContents"/>
              <w:bidi w:val="0"/>
              <w:spacing w:before="0" w:after="0"/>
              <w:ind w:left="0" w:right="0" w:hanging="0"/>
              <w:jc w:val="left"/>
              <w:rPr/>
            </w:pPr>
            <w:r>
              <w:rPr/>
              <w:t>​</w:t>
            </w:r>
          </w:p>
        </w:tc>
        <w:tc>
          <w:tcPr>
            <w:tcW w:w="8583" w:type="dxa"/>
            <w:tcBorders/>
            <w:vAlign w:val="center"/>
          </w:tcPr>
          <w:p>
            <w:pPr>
              <w:pStyle w:val="TableContents"/>
              <w:bidi w:val="0"/>
              <w:spacing w:before="0" w:after="0"/>
              <w:ind w:left="0" w:right="0" w:hanging="0"/>
              <w:jc w:val="left"/>
              <w:rPr/>
            </w:pPr>
            <w:hyperlink w:anchor="bcyc-20260630xex31d1.htm">
              <w:r>
                <w:rPr>
                  <w:rStyle w:val="InternetLink"/>
                  <w:rFonts w:ascii="Times New Roman;Times;serif" w:hAnsi="Times New Roman;Times;serif"/>
                  <w:b w:val="false"/>
                  <w:i w:val="false"/>
                  <w:caps w:val="false"/>
                  <w:smallCaps w:val="false"/>
                  <w:sz w:val="20"/>
                </w:rPr>
                <w:t>Certification of Principal Executive Officer Pursuant to Rules 13a-14(a) and 15d-14(a) under the Securities Exchange Act of 1934, as Adopted Pursuant to Section 302 of the Sarbanes-Oxley Act of 2002</w:t>
              </w:r>
            </w:hyperlink>
            <w:r>
              <w:rPr>
                <w:rFonts w:ascii="Times New Roman;Times;serif" w:hAnsi="Times New Roman;Times;serif"/>
                <w:sz w:val="20"/>
              </w:rPr>
              <w:t>.</w:t>
            </w:r>
          </w:p>
        </w:tc>
      </w:tr>
      <w:tr>
        <w:trPr/>
        <w:tc>
          <w:tcPr>
            <w:tcW w:w="1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583" w:type="dxa"/>
            <w:tcBorders/>
            <w:vAlign w:val="center"/>
          </w:tcPr>
          <w:p>
            <w:pPr>
              <w:pStyle w:val="TableContents"/>
              <w:bidi w:val="0"/>
              <w:spacing w:before="0" w:after="0"/>
              <w:ind w:left="0" w:right="0" w:hanging="0"/>
              <w:jc w:val="left"/>
              <w:rPr/>
            </w:pPr>
            <w:r>
              <w:rPr/>
              <w:t>​</w:t>
            </w:r>
          </w:p>
        </w:tc>
      </w:tr>
      <w:tr>
        <w:trPr/>
        <w:tc>
          <w:tcPr>
            <w:tcW w:w="1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46" w:type="dxa"/>
            <w:tcBorders/>
            <w:vAlign w:val="center"/>
          </w:tcPr>
          <w:p>
            <w:pPr>
              <w:pStyle w:val="TableContents"/>
              <w:bidi w:val="0"/>
              <w:spacing w:before="0" w:after="0"/>
              <w:ind w:left="0" w:right="0" w:hanging="0"/>
              <w:jc w:val="left"/>
              <w:rPr/>
            </w:pPr>
            <w:r>
              <w:rPr/>
              <w:t>​</w:t>
            </w:r>
          </w:p>
        </w:tc>
        <w:tc>
          <w:tcPr>
            <w:tcW w:w="8583" w:type="dxa"/>
            <w:tcBorders/>
            <w:vAlign w:val="center"/>
          </w:tcPr>
          <w:p>
            <w:pPr>
              <w:pStyle w:val="TableContents"/>
              <w:bidi w:val="0"/>
              <w:spacing w:before="0" w:after="0"/>
              <w:ind w:left="0" w:right="0" w:hanging="0"/>
              <w:jc w:val="left"/>
              <w:rPr/>
            </w:pPr>
            <w:hyperlink w:anchor="bcyc-20260630xex31d2.htm">
              <w:r>
                <w:rPr>
                  <w:rStyle w:val="InternetLink"/>
                  <w:rFonts w:ascii="Times New Roman;Times;serif" w:hAnsi="Times New Roman;Times;serif"/>
                  <w:b w:val="false"/>
                  <w:i w:val="false"/>
                  <w:caps w:val="false"/>
                  <w:smallCaps w:val="false"/>
                  <w:sz w:val="20"/>
                </w:rPr>
                <w:t>Certification of Principal Financial Officer Pursuant to Rules 13a-14(a) and 15d-14(a) under the Securities Exchange Act of 1934, as Adopted Pursuant to Section 302 of the Sarbanes-Oxley Act of 2002</w:t>
              </w:r>
            </w:hyperlink>
            <w:r>
              <w:rPr>
                <w:rFonts w:ascii="Times New Roman;Times;serif" w:hAnsi="Times New Roman;Times;serif"/>
                <w:sz w:val="20"/>
              </w:rPr>
              <w:t>.</w:t>
            </w:r>
          </w:p>
        </w:tc>
      </w:tr>
      <w:tr>
        <w:trPr/>
        <w:tc>
          <w:tcPr>
            <w:tcW w:w="1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583" w:type="dxa"/>
            <w:tcBorders/>
            <w:vAlign w:val="center"/>
          </w:tcPr>
          <w:p>
            <w:pPr>
              <w:pStyle w:val="TableContents"/>
              <w:bidi w:val="0"/>
              <w:spacing w:before="0" w:after="0"/>
              <w:ind w:left="0" w:right="0" w:hanging="0"/>
              <w:jc w:val="left"/>
              <w:rPr/>
            </w:pPr>
            <w:r>
              <w:rPr/>
              <w:t>​</w:t>
            </w:r>
          </w:p>
        </w:tc>
      </w:tr>
      <w:tr>
        <w:trPr/>
        <w:tc>
          <w:tcPr>
            <w:tcW w:w="1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46" w:type="dxa"/>
            <w:tcBorders/>
            <w:vAlign w:val="center"/>
          </w:tcPr>
          <w:p>
            <w:pPr>
              <w:pStyle w:val="TableContents"/>
              <w:bidi w:val="0"/>
              <w:spacing w:before="0" w:after="0"/>
              <w:ind w:left="0" w:right="0" w:hanging="0"/>
              <w:jc w:val="left"/>
              <w:rPr/>
            </w:pPr>
            <w:r>
              <w:rPr/>
              <w:t>​</w:t>
            </w:r>
          </w:p>
        </w:tc>
        <w:tc>
          <w:tcPr>
            <w:tcW w:w="8583" w:type="dxa"/>
            <w:tcBorders/>
            <w:vAlign w:val="center"/>
          </w:tcPr>
          <w:p>
            <w:pPr>
              <w:pStyle w:val="TableContents"/>
              <w:bidi w:val="0"/>
              <w:spacing w:before="0" w:after="0"/>
              <w:ind w:left="0" w:right="0" w:hanging="0"/>
              <w:jc w:val="left"/>
              <w:rPr/>
            </w:pPr>
            <w:hyperlink w:anchor="bcyc-20260630xex32d1.htm">
              <w:r>
                <w:rPr>
                  <w:rStyle w:val="InternetLink"/>
                  <w:rFonts w:ascii="Times New Roman;Times;serif" w:hAnsi="Times New Roman;Times;serif"/>
                  <w:b w:val="false"/>
                  <w:i w:val="false"/>
                  <w:caps w:val="false"/>
                  <w:smallCaps w:val="false"/>
                  <w:sz w:val="20"/>
                </w:rPr>
                <w:t>Certification of Principal Executive Officer and Principal Financial Officer Pursuant to 18 U.S.C. Section 1350, as Adopted Pursuant to Section 906 of the Sarbanes-Oxley Act of 2002</w:t>
              </w:r>
            </w:hyperlink>
            <w:r>
              <w:rPr>
                <w:rFonts w:ascii="Times New Roman;Times;serif" w:hAnsi="Times New Roman;Times;serif"/>
                <w:sz w:val="20"/>
              </w:rPr>
              <w:t>.</w:t>
            </w:r>
          </w:p>
        </w:tc>
      </w:tr>
      <w:tr>
        <w:trPr/>
        <w:tc>
          <w:tcPr>
            <w:tcW w:w="1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583" w:type="dxa"/>
            <w:tcBorders/>
            <w:vAlign w:val="center"/>
          </w:tcPr>
          <w:p>
            <w:pPr>
              <w:pStyle w:val="TableContents"/>
              <w:bidi w:val="0"/>
              <w:spacing w:before="0" w:after="0"/>
              <w:ind w:left="0" w:right="0" w:hanging="0"/>
              <w:jc w:val="left"/>
              <w:rPr/>
            </w:pPr>
            <w:r>
              <w:rPr/>
              <w:t>​</w:t>
            </w:r>
          </w:p>
        </w:tc>
      </w:tr>
      <w:tr>
        <w:trPr/>
        <w:tc>
          <w:tcPr>
            <w:tcW w:w="1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46" w:type="dxa"/>
            <w:tcBorders/>
            <w:vAlign w:val="center"/>
          </w:tcPr>
          <w:p>
            <w:pPr>
              <w:pStyle w:val="TableContents"/>
              <w:bidi w:val="0"/>
              <w:spacing w:before="0" w:after="0"/>
              <w:ind w:left="0" w:right="0" w:hanging="0"/>
              <w:jc w:val="left"/>
              <w:rPr/>
            </w:pPr>
            <w:r>
              <w:rPr/>
              <w:t>​</w:t>
            </w:r>
          </w:p>
        </w:tc>
        <w:tc>
          <w:tcPr>
            <w:tcW w:w="85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Instance Document – the instance document does not appear in the Interactive Data File as its XBRL tags are embedded within the Inline XBRL document.</w:t>
            </w:r>
          </w:p>
        </w:tc>
      </w:tr>
      <w:tr>
        <w:trPr/>
        <w:tc>
          <w:tcPr>
            <w:tcW w:w="1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583" w:type="dxa"/>
            <w:tcBorders/>
            <w:vAlign w:val="center"/>
          </w:tcPr>
          <w:p>
            <w:pPr>
              <w:pStyle w:val="TableContents"/>
              <w:bidi w:val="0"/>
              <w:spacing w:before="0" w:after="0"/>
              <w:ind w:left="0" w:right="0" w:hanging="0"/>
              <w:jc w:val="left"/>
              <w:rPr/>
            </w:pPr>
            <w:r>
              <w:rPr/>
              <w:t>​</w:t>
            </w:r>
          </w:p>
        </w:tc>
      </w:tr>
      <w:tr>
        <w:trPr/>
        <w:tc>
          <w:tcPr>
            <w:tcW w:w="1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46" w:type="dxa"/>
            <w:tcBorders/>
            <w:vAlign w:val="center"/>
          </w:tcPr>
          <w:p>
            <w:pPr>
              <w:pStyle w:val="TableContents"/>
              <w:bidi w:val="0"/>
              <w:spacing w:before="0" w:after="0"/>
              <w:ind w:left="0" w:right="0" w:hanging="0"/>
              <w:jc w:val="left"/>
              <w:rPr/>
            </w:pPr>
            <w:r>
              <w:rPr/>
              <w:t>​</w:t>
            </w:r>
          </w:p>
        </w:tc>
        <w:tc>
          <w:tcPr>
            <w:tcW w:w="85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With Embedded Linkbase Documents.</w:t>
            </w:r>
          </w:p>
        </w:tc>
      </w:tr>
      <w:tr>
        <w:trPr/>
        <w:tc>
          <w:tcPr>
            <w:tcW w:w="1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583" w:type="dxa"/>
            <w:tcBorders/>
            <w:vAlign w:val="center"/>
          </w:tcPr>
          <w:p>
            <w:pPr>
              <w:pStyle w:val="TableContents"/>
              <w:bidi w:val="0"/>
              <w:spacing w:before="0" w:after="0"/>
              <w:ind w:left="0" w:right="0" w:hanging="0"/>
              <w:jc w:val="left"/>
              <w:rPr/>
            </w:pPr>
            <w:r>
              <w:rPr/>
              <w:t>​</w:t>
            </w:r>
          </w:p>
        </w:tc>
      </w:tr>
      <w:tr>
        <w:trPr/>
        <w:tc>
          <w:tcPr>
            <w:tcW w:w="1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w:t>
            </w:r>
          </w:p>
        </w:tc>
        <w:tc>
          <w:tcPr>
            <w:tcW w:w="85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formatted as Inline XBRL and contained in Exhibit 101.</w:t>
            </w:r>
          </w:p>
        </w:tc>
      </w:tr>
    </w:tbl>
    <w:p>
      <w:pPr>
        <w:pStyle w:val="TextBody"/>
        <w:pBdr/>
        <w:bidi w:val="0"/>
        <w:spacing w:before="0" w:after="120"/>
        <w:ind w:left="0" w:right="0" w:hanging="360"/>
        <w:jc w:val="left"/>
        <w:rPr>
          <w:rFonts w:ascii="Times New Roman;Times;serif" w:hAnsi="Times New Roman;Times;serif"/>
          <w:sz w:val="20"/>
        </w:rPr>
      </w:pPr>
      <w:r>
        <w:rPr>
          <w:rFonts w:ascii="Times New Roman;Times;serif" w:hAnsi="Times New Roman;Times;serif"/>
          <w:sz w:val="20"/>
        </w:rPr>
        <w:t>*     Filed herewith.</w:t>
      </w:r>
    </w:p>
    <w:tbl>
      <w:tblPr>
        <w:tblW w:w="4877" w:type="dxa"/>
        <w:jc w:val="left"/>
        <w:tblInd w:w="0" w:type="dxa"/>
        <w:tblLayout w:type="fixed"/>
        <w:tblCellMar>
          <w:top w:w="0" w:type="dxa"/>
          <w:left w:w="0" w:type="dxa"/>
          <w:bottom w:w="0" w:type="dxa"/>
          <w:right w:w="0" w:type="dxa"/>
        </w:tblCellMar>
      </w:tblPr>
      <w:tblGrid>
        <w:gridCol w:w="226"/>
        <w:gridCol w:w="4651"/>
      </w:tblGrid>
      <w:tr>
        <w:trPr/>
        <w:tc>
          <w:tcPr>
            <w:tcW w:w="226"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w:t>
            </w:r>
          </w:p>
        </w:tc>
        <w:tc>
          <w:tcPr>
            <w:tcW w:w="465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Indicates a management contract or compensatory plan.</w:t>
            </w:r>
          </w:p>
        </w:tc>
      </w:tr>
    </w:tbl>
    <w:p>
      <w:pPr>
        <w:pStyle w:val="TextBody"/>
        <w:pBdr/>
        <w:bidi w:val="0"/>
        <w:spacing w:before="0" w:after="0"/>
        <w:ind w:left="0" w:right="0" w:hanging="360"/>
        <w:jc w:val="left"/>
        <w:rPr>
          <w:rFonts w:ascii="Times New Roman;Times;serif" w:hAnsi="Times New Roman;Times;serif"/>
          <w:sz w:val="20"/>
        </w:rPr>
      </w:pPr>
      <w:r>
        <w:rPr>
          <w:rFonts w:ascii="Times New Roman;Times;serif" w:hAnsi="Times New Roman;Times;serif"/>
          <w:sz w:val="20"/>
        </w:rPr>
        <w:t>#     The certification attached as Exhibit 32.1 accompanying this Quarterly Report is not deemed filed with the Securities and Exchange Commission and is not to be incorporated by reference into any filing of the Company under the Securities Act of 1933, as amended, or the Securities Exchange Act of 1934, as amended, whether made before or after the date of this Quarterly Report, irrespective of any general incorporation language contained in such filing.</w:t>
      </w:r>
    </w:p>
    <w:p>
      <w:pPr>
        <w:pStyle w:val="TextBody"/>
        <w:pBdr/>
        <w:bidi w:val="0"/>
        <w:spacing w:before="0" w:after="240"/>
        <w:ind w:left="0" w:right="0" w:hanging="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027" w:name="SIGNATURES_425096"/>
      <w:bookmarkStart w:id="1028" w:name="_103bbc18_2536_40ce_996a_821309174dfb"/>
      <w:bookmarkEnd w:id="1027"/>
      <w:bookmarkEnd w:id="1028"/>
      <w:r>
        <w:rPr>
          <w:rFonts w:ascii="Times New Roman;Times;serif" w:hAnsi="Times New Roman;Times;serif"/>
          <w:b/>
          <w:sz w:val="20"/>
        </w:rPr>
        <w:t>SIGNATURES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5883" w:type="dxa"/>
        <w:jc w:val="left"/>
        <w:tblInd w:w="0" w:type="dxa"/>
        <w:tblLayout w:type="fixed"/>
        <w:tblCellMar>
          <w:top w:w="0" w:type="dxa"/>
          <w:left w:w="0" w:type="dxa"/>
          <w:bottom w:w="0" w:type="dxa"/>
          <w:right w:w="0" w:type="dxa"/>
        </w:tblCellMar>
      </w:tblPr>
      <w:tblGrid>
        <w:gridCol w:w="1711"/>
        <w:gridCol w:w="406"/>
        <w:gridCol w:w="3766"/>
      </w:tblGrid>
      <w:tr>
        <w:trPr/>
        <w:tc>
          <w:tcPr>
            <w:tcW w:w="171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766" w:type="dxa"/>
            <w:tcBorders/>
            <w:vAlign w:val="center"/>
          </w:tcPr>
          <w:p>
            <w:pPr>
              <w:pStyle w:val="TableContents"/>
              <w:bidi w:val="0"/>
              <w:spacing w:before="0" w:after="283"/>
              <w:ind w:left="0" w:right="0" w:hanging="0"/>
              <w:jc w:val="left"/>
              <w:rPr>
                <w:sz w:val="4"/>
                <w:szCs w:val="4"/>
              </w:rPr>
            </w:pPr>
            <w:r>
              <w:rPr>
                <w:sz w:val="4"/>
                <w:szCs w:val="4"/>
              </w:rPr>
            </w:r>
          </w:p>
        </w:tc>
      </w:tr>
      <w:tr>
        <w:trPr/>
        <w:tc>
          <w:tcPr>
            <w:tcW w:w="1711" w:type="dxa"/>
            <w:tcBorders/>
            <w:vAlign w:val="center"/>
          </w:tcPr>
          <w:p>
            <w:pPr>
              <w:pStyle w:val="TableContents"/>
              <w:bidi w:val="0"/>
              <w:spacing w:before="0" w:after="0"/>
              <w:ind w:left="0" w:right="0" w:hanging="0"/>
              <w:jc w:val="left"/>
              <w:rPr/>
            </w:pPr>
            <w:r>
              <w:rPr/>
              <w:t>​</w:t>
            </w:r>
          </w:p>
        </w:tc>
        <w:tc>
          <w:tcPr>
            <w:tcW w:w="417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BICYCLE THERAPEUTICS PLC</w:t>
            </w:r>
          </w:p>
        </w:tc>
      </w:tr>
      <w:tr>
        <w:trPr/>
        <w:tc>
          <w:tcPr>
            <w:tcW w:w="1711" w:type="dxa"/>
            <w:tcBorders/>
            <w:vAlign w:val="center"/>
          </w:tcPr>
          <w:p>
            <w:pPr>
              <w:pStyle w:val="TableContents"/>
              <w:bidi w:val="0"/>
              <w:spacing w:before="0" w:after="0"/>
              <w:ind w:left="0" w:right="0" w:hanging="0"/>
              <w:jc w:val="left"/>
              <w:rPr/>
            </w:pPr>
            <w:r>
              <w:rPr/>
              <w:t>​</w:t>
            </w:r>
          </w:p>
        </w:tc>
        <w:tc>
          <w:tcPr>
            <w:tcW w:w="4172" w:type="dxa"/>
            <w:gridSpan w:val="2"/>
            <w:tcBorders/>
            <w:vAlign w:val="center"/>
          </w:tcPr>
          <w:p>
            <w:pPr>
              <w:pStyle w:val="TableContents"/>
              <w:bidi w:val="0"/>
              <w:spacing w:before="0" w:after="0"/>
              <w:ind w:left="0" w:right="0" w:hanging="0"/>
              <w:jc w:val="left"/>
              <w:rPr/>
            </w:pPr>
            <w:r>
              <w:rPr/>
              <w:t>​</w:t>
            </w:r>
          </w:p>
        </w:tc>
      </w:tr>
      <w:tr>
        <w:trPr/>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July 30,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 Kevin Lee </w:t>
            </w:r>
          </w:p>
        </w:tc>
      </w:tr>
      <w:tr>
        <w:trPr/>
        <w:tc>
          <w:tcPr>
            <w:tcW w:w="17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6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Kevin Lee, Ph.D., MBA</w:t>
            </w:r>
          </w:p>
        </w:tc>
      </w:tr>
      <w:tr>
        <w:trPr/>
        <w:tc>
          <w:tcPr>
            <w:tcW w:w="17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right"/>
              <w:rPr/>
            </w:pPr>
            <w:r>
              <w:rPr/>
              <w:t>​</w:t>
            </w:r>
          </w:p>
        </w:tc>
        <w:tc>
          <w:tcPr>
            <w:tcW w:w="376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Executive Officer</w:t>
            </w:r>
          </w:p>
        </w:tc>
      </w:tr>
      <w:tr>
        <w:trPr/>
        <w:tc>
          <w:tcPr>
            <w:tcW w:w="17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(Principal Executive Officer)</w:t>
            </w:r>
          </w:p>
        </w:tc>
      </w:tr>
      <w:tr>
        <w:trPr/>
        <w:tc>
          <w:tcPr>
            <w:tcW w:w="17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July 30,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Travis Thompson</w:t>
            </w:r>
          </w:p>
        </w:tc>
      </w:tr>
      <w:tr>
        <w:trPr/>
        <w:tc>
          <w:tcPr>
            <w:tcW w:w="17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6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Travis Thompson</w:t>
            </w:r>
          </w:p>
        </w:tc>
      </w:tr>
      <w:tr>
        <w:trPr/>
        <w:tc>
          <w:tcPr>
            <w:tcW w:w="17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Financial Officer</w:t>
            </w:r>
          </w:p>
        </w:tc>
      </w:tr>
      <w:tr>
        <w:trPr/>
        <w:tc>
          <w:tcPr>
            <w:tcW w:w="17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TextBody"/>
        <w:bidi w:val="0"/>
        <w:spacing w:before="0" w:after="0"/>
        <w:ind w:left="0" w:right="0" w:hanging="0"/>
        <w:jc w:val="left"/>
        <w:rPr/>
      </w:pPr>
      <w:bookmarkStart w:id="1029" w:name="bcyc-20260630xex10d1.htm"/>
      <w:bookmarkStart w:id="1030" w:name="ksbcyc20260630xex10d1"/>
      <w:bookmarkEnd w:id="1029"/>
      <w:bookmarkEnd w:id="1030"/>
      <w:r>
        <w:rPr/>
        <w:t>​</w:t>
      </w:r>
      <w:r>
        <w:br w:type="page"/>
      </w:r>
    </w:p>
    <w:p>
      <w:pPr>
        <w:pStyle w:val="TextBody"/>
        <w:bidi w:val="0"/>
        <w:spacing w:before="0" w:after="0"/>
        <w:ind w:left="0" w:right="0" w:hanging="0"/>
        <w:jc w:val="left"/>
        <w:rPr/>
      </w:pPr>
      <w:r>
        <w:rPr/>
        <w:t>​</w:t>
      </w:r>
    </w:p>
    <w:p>
      <w:pPr>
        <w:pStyle w:val="TextBody"/>
        <w:bidi w:val="0"/>
        <w:spacing w:before="0" w:after="0"/>
        <w:ind w:left="0" w:right="0" w:hanging="0"/>
        <w:jc w:val="right"/>
        <w:rPr>
          <w:rFonts w:ascii="Times New Roman;Times;serif" w:hAnsi="Times New Roman;Times;serif"/>
          <w:b/>
          <w:sz w:val="22"/>
        </w:rPr>
      </w:pPr>
      <w:r>
        <w:rPr>
          <w:rFonts w:ascii="Times New Roman;Times;serif" w:hAnsi="Times New Roman;Times;serif"/>
          <w:b/>
          <w:sz w:val="22"/>
        </w:rPr>
        <w:t>Exhibit 10.1</w:t>
      </w:r>
    </w:p>
    <w:p>
      <w:pPr>
        <w:pStyle w:val="TextBody"/>
        <w:bidi w:val="0"/>
        <w:spacing w:before="77" w:after="0"/>
        <w:ind w:left="0" w:right="351" w:hanging="0"/>
        <w:jc w:val="center"/>
        <w:rPr>
          <w:rFonts w:ascii="Times New Roman;Times;serif" w:hAnsi="Times New Roman;Times;serif"/>
          <w:b/>
          <w:sz w:val="24"/>
        </w:rPr>
      </w:pPr>
      <w:r>
        <w:rPr>
          <w:rFonts w:ascii="Times New Roman;Times;serif" w:hAnsi="Times New Roman;Times;serif"/>
          <w:b/>
          <w:spacing w:val="-4"/>
          <w:sz w:val="24"/>
        </w:rPr>
        <w:t>CONSULTING</w:t>
      </w:r>
      <w:r>
        <w:rPr>
          <w:rFonts w:ascii="Times New Roman;Times;serif" w:hAnsi="Times New Roman;Times;serif"/>
          <w:b/>
          <w:spacing w:val="-2"/>
          <w:sz w:val="24"/>
        </w:rPr>
        <w:t xml:space="preserve"> AGREEMENT</w:t>
      </w:r>
    </w:p>
    <w:p>
      <w:pPr>
        <w:pStyle w:val="TextBody"/>
        <w:bidi w:val="0"/>
        <w:spacing w:before="0" w:after="0"/>
        <w:ind w:left="0" w:right="0" w:hanging="0"/>
        <w:jc w:val="left"/>
        <w:rPr/>
      </w:pPr>
      <w:r>
        <w:rPr/>
        <w:t>​</w:t>
      </w:r>
    </w:p>
    <w:p>
      <w:pPr>
        <w:pStyle w:val="TextBody"/>
        <w:bidi w:val="0"/>
        <w:spacing w:before="0" w:after="0"/>
        <w:ind w:left="0" w:right="352" w:firstLine="576"/>
        <w:jc w:val="both"/>
        <w:rPr>
          <w:rFonts w:ascii="Times New Roman;Times;serif" w:hAnsi="Times New Roman;Times;serif"/>
          <w:sz w:val="18"/>
        </w:rPr>
      </w:pPr>
      <w:r>
        <w:rPr>
          <w:rFonts w:ascii="Times New Roman;Times;serif" w:hAnsi="Times New Roman;Times;serif"/>
          <w:b/>
          <w:sz w:val="24"/>
        </w:rPr>
        <w:t>T</w:t>
      </w:r>
      <w:r>
        <w:rPr>
          <w:rFonts w:ascii="Times New Roman;Times;serif" w:hAnsi="Times New Roman;Times;serif"/>
          <w:b/>
          <w:sz w:val="19"/>
        </w:rPr>
        <w:t xml:space="preserve">HIS </w:t>
      </w:r>
      <w:r>
        <w:rPr>
          <w:rFonts w:ascii="Times New Roman;Times;serif" w:hAnsi="Times New Roman;Times;serif"/>
          <w:b/>
          <w:sz w:val="24"/>
        </w:rPr>
        <w:t>C</w:t>
      </w:r>
      <w:r>
        <w:rPr>
          <w:rFonts w:ascii="Times New Roman;Times;serif" w:hAnsi="Times New Roman;Times;serif"/>
          <w:b/>
          <w:sz w:val="19"/>
        </w:rPr>
        <w:t xml:space="preserve">ONSULTING </w:t>
      </w:r>
      <w:r>
        <w:rPr>
          <w:rFonts w:ascii="Times New Roman;Times;serif" w:hAnsi="Times New Roman;Times;serif"/>
          <w:b/>
          <w:sz w:val="24"/>
        </w:rPr>
        <w:t>A</w:t>
      </w:r>
      <w:r>
        <w:rPr>
          <w:rFonts w:ascii="Times New Roman;Times;serif" w:hAnsi="Times New Roman;Times;serif"/>
          <w:b/>
          <w:sz w:val="19"/>
        </w:rPr>
        <w:t xml:space="preserve">GREEMENT </w:t>
      </w:r>
      <w:r>
        <w:rPr>
          <w:rFonts w:ascii="Times New Roman;Times;serif" w:hAnsi="Times New Roman;Times;serif"/>
          <w:sz w:val="24"/>
        </w:rPr>
        <w:t xml:space="preserve">(the </w:t>
      </w:r>
      <w:r>
        <w:rPr>
          <w:rFonts w:ascii="Times New Roman;Times;serif" w:hAnsi="Times New Roman;Times;serif"/>
          <w:sz w:val="18"/>
        </w:rPr>
        <w:t>“</w:t>
      </w:r>
      <w:r>
        <w:rPr>
          <w:rFonts w:ascii="Times New Roman;Times;serif" w:hAnsi="Times New Roman;Times;serif"/>
          <w:b/>
          <w:sz w:val="24"/>
        </w:rPr>
        <w:t>Agreement”</w:t>
      </w:r>
      <w:r>
        <w:rPr>
          <w:rFonts w:ascii="Times New Roman;Times;serif" w:hAnsi="Times New Roman;Times;serif"/>
          <w:sz w:val="24"/>
        </w:rPr>
        <w:t xml:space="preserve">) is made by and between </w:t>
      </w:r>
      <w:r>
        <w:rPr>
          <w:rFonts w:ascii="Times New Roman;Times;serif" w:hAnsi="Times New Roman;Times;serif"/>
          <w:sz w:val="22"/>
        </w:rPr>
        <w:t>Bicycle Therapeutics</w:t>
      </w:r>
      <w:r>
        <w:rPr>
          <w:rFonts w:ascii="Times New Roman;Times;serif" w:hAnsi="Times New Roman;Times;serif"/>
          <w:spacing w:val="-5"/>
          <w:sz w:val="18"/>
        </w:rPr>
        <w:t xml:space="preserve"> </w:t>
      </w:r>
      <w:r>
        <w:rPr>
          <w:rFonts w:ascii="Times New Roman;Times;serif" w:hAnsi="Times New Roman;Times;serif"/>
          <w:sz w:val="22"/>
        </w:rPr>
        <w:t xml:space="preserve">Inc. </w:t>
      </w:r>
      <w:r>
        <w:rPr>
          <w:rFonts w:ascii="Times New Roman;Times;serif" w:hAnsi="Times New Roman;Times;serif"/>
          <w:sz w:val="24"/>
        </w:rPr>
        <w:t>(</w:t>
      </w:r>
      <w:r>
        <w:rPr>
          <w:rFonts w:ascii="Times New Roman;Times;serif" w:hAnsi="Times New Roman;Times;serif"/>
          <w:sz w:val="18"/>
        </w:rPr>
        <w:t>“</w:t>
      </w:r>
      <w:r>
        <w:rPr>
          <w:rFonts w:ascii="Times New Roman;Times;serif" w:hAnsi="Times New Roman;Times;serif"/>
          <w:b/>
          <w:sz w:val="24"/>
        </w:rPr>
        <w:t>Company”</w:t>
      </w:r>
      <w:r>
        <w:rPr>
          <w:rFonts w:ascii="Times New Roman;Times;serif" w:hAnsi="Times New Roman;Times;serif"/>
          <w:sz w:val="24"/>
        </w:rPr>
        <w:t>)</w:t>
      </w:r>
      <w:r>
        <w:rPr>
          <w:rFonts w:ascii="Times New Roman;Times;serif" w:hAnsi="Times New Roman;Times;serif"/>
          <w:spacing w:val="-5"/>
          <w:sz w:val="18"/>
        </w:rPr>
        <w:t xml:space="preserve"> </w:t>
      </w:r>
      <w:r>
        <w:rPr>
          <w:rFonts w:ascii="Times New Roman;Times;serif" w:hAnsi="Times New Roman;Times;serif"/>
          <w:sz w:val="24"/>
        </w:rPr>
        <w:t>and</w:t>
      </w:r>
      <w:r>
        <w:rPr>
          <w:rFonts w:ascii="Times New Roman;Times;serif" w:hAnsi="Times New Roman;Times;serif"/>
          <w:spacing w:val="-6"/>
          <w:sz w:val="18"/>
        </w:rPr>
        <w:t xml:space="preserve"> </w:t>
      </w:r>
      <w:r>
        <w:rPr>
          <w:rFonts w:ascii="Times New Roman;Times;serif" w:hAnsi="Times New Roman;Times;serif"/>
          <w:sz w:val="22"/>
        </w:rPr>
        <w:t>Janice</w:t>
      </w:r>
      <w:r>
        <w:rPr>
          <w:rFonts w:ascii="Times New Roman;Times;serif" w:hAnsi="Times New Roman;Times;serif"/>
          <w:spacing w:val="-13"/>
          <w:sz w:val="18"/>
        </w:rPr>
        <w:t xml:space="preserve"> </w:t>
      </w:r>
      <w:r>
        <w:rPr>
          <w:rFonts w:ascii="Times New Roman;Times;serif" w:hAnsi="Times New Roman;Times;serif"/>
          <w:sz w:val="22"/>
        </w:rPr>
        <w:t>Bourque</w:t>
      </w:r>
      <w:r>
        <w:rPr>
          <w:rFonts w:ascii="Times New Roman;Times;serif" w:hAnsi="Times New Roman;Times;serif"/>
          <w:spacing w:val="-7"/>
          <w:sz w:val="18"/>
        </w:rPr>
        <w:t xml:space="preserve"> </w:t>
      </w:r>
      <w:r>
        <w:rPr>
          <w:rFonts w:ascii="Times New Roman;Times;serif" w:hAnsi="Times New Roman;Times;serif"/>
          <w:sz w:val="24"/>
        </w:rPr>
        <w:t>(</w:t>
      </w:r>
      <w:r>
        <w:rPr>
          <w:rFonts w:ascii="Times New Roman;Times;serif" w:hAnsi="Times New Roman;Times;serif"/>
          <w:sz w:val="18"/>
        </w:rPr>
        <w:t>“</w:t>
      </w:r>
      <w:r>
        <w:rPr>
          <w:rFonts w:ascii="Times New Roman;Times;serif" w:hAnsi="Times New Roman;Times;serif"/>
          <w:b/>
          <w:sz w:val="24"/>
        </w:rPr>
        <w:t>Consultant”</w:t>
      </w:r>
      <w:r>
        <w:rPr>
          <w:rFonts w:ascii="Times New Roman;Times;serif" w:hAnsi="Times New Roman;Times;serif"/>
          <w:sz w:val="24"/>
        </w:rPr>
        <w:t>),</w:t>
      </w:r>
      <w:r>
        <w:rPr>
          <w:rFonts w:ascii="Times New Roman;Times;serif" w:hAnsi="Times New Roman;Times;serif"/>
          <w:spacing w:val="-8"/>
          <w:sz w:val="18"/>
        </w:rPr>
        <w:t xml:space="preserve"> </w:t>
      </w:r>
      <w:r>
        <w:rPr>
          <w:rFonts w:ascii="Times New Roman;Times;serif" w:hAnsi="Times New Roman;Times;serif"/>
          <w:sz w:val="24"/>
        </w:rPr>
        <w:t>effective</w:t>
      </w:r>
      <w:r>
        <w:rPr>
          <w:rFonts w:ascii="Times New Roman;Times;serif" w:hAnsi="Times New Roman;Times;serif"/>
          <w:spacing w:val="-7"/>
          <w:sz w:val="18"/>
        </w:rPr>
        <w:t xml:space="preserve"> </w:t>
      </w:r>
      <w:r>
        <w:rPr>
          <w:rFonts w:ascii="Times New Roman;Times;serif" w:hAnsi="Times New Roman;Times;serif"/>
          <w:sz w:val="24"/>
        </w:rPr>
        <w:t>as</w:t>
      </w:r>
      <w:r>
        <w:rPr>
          <w:rFonts w:ascii="Times New Roman;Times;serif" w:hAnsi="Times New Roman;Times;serif"/>
          <w:spacing w:val="-8"/>
          <w:sz w:val="18"/>
        </w:rPr>
        <w:t xml:space="preserve"> </w:t>
      </w:r>
      <w:r>
        <w:rPr>
          <w:rFonts w:ascii="Times New Roman;Times;serif" w:hAnsi="Times New Roman;Times;serif"/>
          <w:sz w:val="24"/>
        </w:rPr>
        <w:t>of</w:t>
      </w:r>
      <w:r>
        <w:rPr>
          <w:rFonts w:ascii="Times New Roman;Times;serif" w:hAnsi="Times New Roman;Times;serif"/>
          <w:spacing w:val="-7"/>
          <w:sz w:val="18"/>
        </w:rPr>
        <w:t xml:space="preserve"> </w:t>
      </w:r>
      <w:r>
        <w:rPr>
          <w:rFonts w:ascii="Times New Roman;Times;serif" w:hAnsi="Times New Roman;Times;serif"/>
          <w:sz w:val="24"/>
        </w:rPr>
        <w:t>June</w:t>
      </w:r>
      <w:r>
        <w:rPr>
          <w:rFonts w:ascii="Times New Roman;Times;serif" w:hAnsi="Times New Roman;Times;serif"/>
          <w:spacing w:val="-7"/>
          <w:sz w:val="18"/>
        </w:rPr>
        <w:t xml:space="preserve"> </w:t>
      </w:r>
      <w:r>
        <w:rPr>
          <w:rFonts w:ascii="Times New Roman;Times;serif" w:hAnsi="Times New Roman;Times;serif"/>
          <w:sz w:val="24"/>
        </w:rPr>
        <w:t>17</w:t>
      </w:r>
      <w:r>
        <w:rPr>
          <w:rFonts w:ascii="Times New Roman;Times;serif" w:hAnsi="Times New Roman;Times;serif"/>
          <w:sz w:val="18"/>
        </w:rPr>
        <w:t>th</w:t>
      </w:r>
      <w:r>
        <w:rPr>
          <w:rFonts w:ascii="Times New Roman;Times;serif" w:hAnsi="Times New Roman;Times;serif"/>
          <w:sz w:val="24"/>
        </w:rPr>
        <w:t>,</w:t>
      </w:r>
      <w:r>
        <w:rPr>
          <w:rFonts w:ascii="Times New Roman;Times;serif" w:hAnsi="Times New Roman;Times;serif"/>
          <w:spacing w:val="-8"/>
          <w:sz w:val="18"/>
        </w:rPr>
        <w:t xml:space="preserve"> </w:t>
      </w:r>
      <w:r>
        <w:rPr>
          <w:rFonts w:ascii="Times New Roman;Times;serif" w:hAnsi="Times New Roman;Times;serif"/>
          <w:sz w:val="24"/>
        </w:rPr>
        <w:t>2026 (the “</w:t>
      </w:r>
      <w:r>
        <w:rPr>
          <w:rFonts w:ascii="Times New Roman;Times;serif" w:hAnsi="Times New Roman;Times;serif"/>
          <w:b/>
          <w:sz w:val="24"/>
        </w:rPr>
        <w:t>Effective Date</w:t>
      </w:r>
      <w:r>
        <w:rPr>
          <w:rFonts w:ascii="Times New Roman;Times;serif" w:hAnsi="Times New Roman;Times;serif"/>
          <w:sz w:val="18"/>
        </w:rPr>
        <w:t>”</w:t>
      </w:r>
      <w:r>
        <w:rPr>
          <w:rFonts w:ascii="Times New Roman;Times;serif" w:hAnsi="Times New Roman;Times;serif"/>
          <w:sz w:val="24"/>
        </w:rPr>
        <w:t>).</w:t>
      </w:r>
    </w:p>
    <w:p>
      <w:pPr>
        <w:pStyle w:val="TextBody"/>
        <w:bidi w:val="0"/>
        <w:spacing w:before="0" w:after="0"/>
        <w:ind w:left="0" w:right="0" w:hanging="0"/>
        <w:jc w:val="left"/>
        <w:rPr/>
      </w:pPr>
      <w:r>
        <w:rPr/>
        <w:t>​</w:t>
      </w:r>
    </w:p>
    <w:p>
      <w:pPr>
        <w:pStyle w:val="TextBody"/>
        <w:bidi w:val="0"/>
        <w:spacing w:before="0" w:after="0"/>
        <w:ind w:left="0" w:right="352" w:hanging="0"/>
        <w:jc w:val="both"/>
        <w:rPr>
          <w:rFonts w:ascii="Times New Roman;Times;serif" w:hAnsi="Times New Roman;Times;serif"/>
          <w:sz w:val="22"/>
        </w:rPr>
      </w:pPr>
      <w:r>
        <w:rPr>
          <w:rFonts w:ascii="Times New Roman;Times;serif" w:hAnsi="Times New Roman;Times;serif"/>
          <w:b/>
          <w:sz w:val="24"/>
        </w:rPr>
        <w:t>1.</w:t>
      </w:r>
      <w:bookmarkStart w:id="1031" w:name="1._Engagement_of_Services.__Subject_to_t"/>
      <w:bookmarkEnd w:id="1031"/>
      <w:r>
        <w:rPr>
          <w:rFonts w:ascii="Times New Roman;Times;serif" w:hAnsi="Times New Roman;Times;serif"/>
          <w:b/>
          <w:sz w:val="24"/>
        </w:rPr>
        <w:t>E</w:t>
      </w:r>
      <w:r>
        <w:rPr>
          <w:rFonts w:ascii="Times New Roman;Times;serif" w:hAnsi="Times New Roman;Times;serif"/>
          <w:b/>
          <w:sz w:val="19"/>
        </w:rPr>
        <w:t xml:space="preserve">NGAGEMENT OF </w:t>
      </w:r>
      <w:r>
        <w:rPr>
          <w:rFonts w:ascii="Times New Roman;Times;serif" w:hAnsi="Times New Roman;Times;serif"/>
          <w:b/>
          <w:sz w:val="24"/>
        </w:rPr>
        <w:t>S</w:t>
      </w:r>
      <w:r>
        <w:rPr>
          <w:rFonts w:ascii="Times New Roman;Times;serif" w:hAnsi="Times New Roman;Times;serif"/>
          <w:b/>
          <w:sz w:val="19"/>
        </w:rPr>
        <w:t>ERVICES</w:t>
      </w:r>
      <w:r>
        <w:rPr>
          <w:rFonts w:ascii="Times New Roman;Times;serif" w:hAnsi="Times New Roman;Times;serif"/>
          <w:b/>
          <w:sz w:val="24"/>
        </w:rPr>
        <w:t>.</w:t>
      </w:r>
      <w:r>
        <w:rPr>
          <w:rFonts w:ascii="Times New Roman;Times;serif" w:hAnsi="Times New Roman;Times;serif"/>
          <w:spacing w:val="40"/>
          <w:sz w:val="22"/>
        </w:rPr>
        <w:t xml:space="preserve"> </w:t>
      </w:r>
      <w:r>
        <w:rPr>
          <w:rFonts w:ascii="Times New Roman;Times;serif" w:hAnsi="Times New Roman;Times;serif"/>
          <w:sz w:val="24"/>
        </w:rPr>
        <w:t xml:space="preserve">Subject to the terms of this Agreement, Consultant agrees to provide consulting services to Company as described in </w:t>
      </w:r>
      <w:r>
        <w:rPr>
          <w:rFonts w:ascii="Times New Roman;Times;serif" w:hAnsi="Times New Roman;Times;serif"/>
          <w:b/>
          <w:sz w:val="24"/>
        </w:rPr>
        <w:t xml:space="preserve">Exhibit A </w:t>
      </w:r>
      <w:r>
        <w:rPr>
          <w:rFonts w:ascii="Times New Roman;Times;serif" w:hAnsi="Times New Roman;Times;serif"/>
          <w:sz w:val="24"/>
        </w:rPr>
        <w:t xml:space="preserve">hereto (the </w:t>
      </w:r>
      <w:r>
        <w:rPr>
          <w:rFonts w:ascii="Times New Roman;Times;serif" w:hAnsi="Times New Roman;Times;serif"/>
          <w:sz w:val="22"/>
        </w:rPr>
        <w:t>“</w:t>
      </w:r>
      <w:r>
        <w:rPr>
          <w:rFonts w:ascii="Times New Roman;Times;serif" w:hAnsi="Times New Roman;Times;serif"/>
          <w:b/>
          <w:sz w:val="24"/>
        </w:rPr>
        <w:t>Services”</w:t>
      </w:r>
      <w:r>
        <w:rPr>
          <w:rFonts w:ascii="Times New Roman;Times;serif" w:hAnsi="Times New Roman;Times;serif"/>
          <w:sz w:val="24"/>
        </w:rPr>
        <w:t>). Consultant</w:t>
      </w:r>
      <w:r>
        <w:rPr>
          <w:rFonts w:ascii="Times New Roman;Times;serif" w:hAnsi="Times New Roman;Times;serif"/>
          <w:spacing w:val="-3"/>
          <w:sz w:val="22"/>
        </w:rPr>
        <w:t xml:space="preserve"> </w:t>
      </w:r>
      <w:r>
        <w:rPr>
          <w:rFonts w:ascii="Times New Roman;Times;serif" w:hAnsi="Times New Roman;Times;serif"/>
          <w:sz w:val="24"/>
        </w:rPr>
        <w:t>agrees</w:t>
      </w:r>
      <w:r>
        <w:rPr>
          <w:rFonts w:ascii="Times New Roman;Times;serif" w:hAnsi="Times New Roman;Times;serif"/>
          <w:spacing w:val="-5"/>
          <w:sz w:val="22"/>
        </w:rPr>
        <w:t xml:space="preserve"> </w:t>
      </w:r>
      <w:r>
        <w:rPr>
          <w:rFonts w:ascii="Times New Roman;Times;serif" w:hAnsi="Times New Roman;Times;serif"/>
          <w:sz w:val="24"/>
        </w:rPr>
        <w:t>to</w:t>
      </w:r>
      <w:r>
        <w:rPr>
          <w:rFonts w:ascii="Times New Roman;Times;serif" w:hAnsi="Times New Roman;Times;serif"/>
          <w:spacing w:val="-8"/>
          <w:sz w:val="22"/>
        </w:rPr>
        <w:t xml:space="preserve"> </w:t>
      </w:r>
      <w:r>
        <w:rPr>
          <w:rFonts w:ascii="Times New Roman;Times;serif" w:hAnsi="Times New Roman;Times;serif"/>
          <w:sz w:val="24"/>
        </w:rPr>
        <w:t>exercise</w:t>
      </w:r>
      <w:r>
        <w:rPr>
          <w:rFonts w:ascii="Times New Roman;Times;serif" w:hAnsi="Times New Roman;Times;serif"/>
          <w:spacing w:val="-4"/>
          <w:sz w:val="22"/>
        </w:rPr>
        <w:t xml:space="preserve"> </w:t>
      </w:r>
      <w:r>
        <w:rPr>
          <w:rFonts w:ascii="Times New Roman;Times;serif" w:hAnsi="Times New Roman;Times;serif"/>
          <w:sz w:val="24"/>
        </w:rPr>
        <w:t>diligence</w:t>
      </w:r>
      <w:r>
        <w:rPr>
          <w:rFonts w:ascii="Times New Roman;Times;serif" w:hAnsi="Times New Roman;Times;serif"/>
          <w:spacing w:val="-9"/>
          <w:sz w:val="22"/>
        </w:rPr>
        <w:t xml:space="preserve"> </w:t>
      </w:r>
      <w:r>
        <w:rPr>
          <w:rFonts w:ascii="Times New Roman;Times;serif" w:hAnsi="Times New Roman;Times;serif"/>
          <w:sz w:val="24"/>
        </w:rPr>
        <w:t>and</w:t>
      </w:r>
      <w:r>
        <w:rPr>
          <w:rFonts w:ascii="Times New Roman;Times;serif" w:hAnsi="Times New Roman;Times;serif"/>
          <w:spacing w:val="-8"/>
          <w:sz w:val="22"/>
        </w:rPr>
        <w:t xml:space="preserve"> </w:t>
      </w:r>
      <w:r>
        <w:rPr>
          <w:rFonts w:ascii="Times New Roman;Times;serif" w:hAnsi="Times New Roman;Times;serif"/>
          <w:sz w:val="24"/>
        </w:rPr>
        <w:t>the</w:t>
      </w:r>
      <w:r>
        <w:rPr>
          <w:rFonts w:ascii="Times New Roman;Times;serif" w:hAnsi="Times New Roman;Times;serif"/>
          <w:spacing w:val="-9"/>
          <w:sz w:val="22"/>
        </w:rPr>
        <w:t xml:space="preserve"> </w:t>
      </w:r>
      <w:r>
        <w:rPr>
          <w:rFonts w:ascii="Times New Roman;Times;serif" w:hAnsi="Times New Roman;Times;serif"/>
          <w:sz w:val="24"/>
        </w:rPr>
        <w:t>highest degree</w:t>
      </w:r>
      <w:r>
        <w:rPr>
          <w:rFonts w:ascii="Times New Roman;Times;serif" w:hAnsi="Times New Roman;Times;serif"/>
          <w:spacing w:val="-4"/>
          <w:sz w:val="22"/>
        </w:rPr>
        <w:t xml:space="preserve"> </w:t>
      </w:r>
      <w:r>
        <w:rPr>
          <w:rFonts w:ascii="Times New Roman;Times;serif" w:hAnsi="Times New Roman;Times;serif"/>
          <w:sz w:val="24"/>
        </w:rPr>
        <w:t>of</w:t>
      </w:r>
      <w:r>
        <w:rPr>
          <w:rFonts w:ascii="Times New Roman;Times;serif" w:hAnsi="Times New Roman;Times;serif"/>
          <w:spacing w:val="-6"/>
          <w:sz w:val="22"/>
        </w:rPr>
        <w:t xml:space="preserve"> </w:t>
      </w:r>
      <w:r>
        <w:rPr>
          <w:rFonts w:ascii="Times New Roman;Times;serif" w:hAnsi="Times New Roman;Times;serif"/>
          <w:sz w:val="24"/>
        </w:rPr>
        <w:t>professionalism</w:t>
      </w:r>
      <w:r>
        <w:rPr>
          <w:rFonts w:ascii="Times New Roman;Times;serif" w:hAnsi="Times New Roman;Times;serif"/>
          <w:spacing w:val="-3"/>
          <w:sz w:val="22"/>
        </w:rPr>
        <w:t xml:space="preserve"> </w:t>
      </w:r>
      <w:r>
        <w:rPr>
          <w:rFonts w:ascii="Times New Roman;Times;serif" w:hAnsi="Times New Roman;Times;serif"/>
          <w:sz w:val="24"/>
        </w:rPr>
        <w:t>in</w:t>
      </w:r>
      <w:r>
        <w:rPr>
          <w:rFonts w:ascii="Times New Roman;Times;serif" w:hAnsi="Times New Roman;Times;serif"/>
          <w:spacing w:val="-8"/>
          <w:sz w:val="22"/>
        </w:rPr>
        <w:t xml:space="preserve"> </w:t>
      </w:r>
      <w:r>
        <w:rPr>
          <w:rFonts w:ascii="Times New Roman;Times;serif" w:hAnsi="Times New Roman;Times;serif"/>
          <w:sz w:val="24"/>
        </w:rPr>
        <w:t>providing</w:t>
      </w:r>
      <w:r>
        <w:rPr>
          <w:rFonts w:ascii="Times New Roman;Times;serif" w:hAnsi="Times New Roman;Times;serif"/>
          <w:spacing w:val="-4"/>
          <w:sz w:val="22"/>
        </w:rPr>
        <w:t xml:space="preserve"> </w:t>
      </w:r>
      <w:r>
        <w:rPr>
          <w:rFonts w:ascii="Times New Roman;Times;serif" w:hAnsi="Times New Roman;Times;serif"/>
          <w:sz w:val="24"/>
        </w:rPr>
        <w:t>the Services.</w:t>
      </w:r>
      <w:r>
        <w:rPr>
          <w:rFonts w:ascii="Times New Roman;Times;serif" w:hAnsi="Times New Roman;Times;serif"/>
          <w:spacing w:val="80"/>
          <w:sz w:val="22"/>
        </w:rPr>
        <w:t xml:space="preserve"> </w:t>
      </w:r>
      <w:r>
        <w:rPr>
          <w:rFonts w:ascii="Times New Roman;Times;serif" w:hAnsi="Times New Roman;Times;serif"/>
          <w:sz w:val="24"/>
        </w:rPr>
        <w:t>Consultant shall perform all Services in compliance with all applicable laws.</w:t>
      </w:r>
    </w:p>
    <w:p>
      <w:pPr>
        <w:pStyle w:val="TextBody"/>
        <w:bidi w:val="0"/>
        <w:spacing w:lineRule="auto" w:line="288" w:before="240" w:after="0"/>
        <w:ind w:left="0" w:right="353" w:hanging="0"/>
        <w:jc w:val="both"/>
        <w:rPr>
          <w:rFonts w:ascii="Times New Roman;Times;serif" w:hAnsi="Times New Roman;Times;serif"/>
          <w:sz w:val="22"/>
        </w:rPr>
      </w:pPr>
      <w:r>
        <w:rPr>
          <w:rFonts w:ascii="Times New Roman;Times;serif" w:hAnsi="Times New Roman;Times;serif"/>
          <w:b/>
          <w:sz w:val="24"/>
        </w:rPr>
        <w:t>2.</w:t>
      </w:r>
      <w:bookmarkStart w:id="1032" w:name="2._Compensation.__As_sole_compensation_f"/>
      <w:bookmarkEnd w:id="1032"/>
      <w:r>
        <w:rPr>
          <w:rFonts w:ascii="Times New Roman;Times;serif" w:hAnsi="Times New Roman;Times;serif"/>
          <w:b/>
          <w:sz w:val="24"/>
        </w:rPr>
        <w:t>C</w:t>
      </w:r>
      <w:r>
        <w:rPr>
          <w:rFonts w:ascii="Times New Roman;Times;serif" w:hAnsi="Times New Roman;Times;serif"/>
          <w:b/>
          <w:sz w:val="19"/>
        </w:rPr>
        <w:t>OMPENSATION</w:t>
      </w:r>
      <w:r>
        <w:rPr>
          <w:rFonts w:ascii="Times New Roman;Times;serif" w:hAnsi="Times New Roman;Times;serif"/>
          <w:b/>
          <w:sz w:val="24"/>
        </w:rPr>
        <w:t>.</w:t>
      </w:r>
      <w:r>
        <w:rPr>
          <w:rFonts w:ascii="Times New Roman;Times;serif" w:hAnsi="Times New Roman;Times;serif"/>
          <w:spacing w:val="40"/>
          <w:sz w:val="22"/>
        </w:rPr>
        <w:t xml:space="preserve"> </w:t>
      </w:r>
      <w:r>
        <w:rPr>
          <w:rFonts w:ascii="Times New Roman;Times;serif" w:hAnsi="Times New Roman;Times;serif"/>
          <w:sz w:val="24"/>
        </w:rPr>
        <w:t xml:space="preserve">As sole compensation for the performance of the Services, Company will pay to Consultant the amounts and on the schedule specified in </w:t>
      </w:r>
      <w:r>
        <w:rPr>
          <w:rFonts w:ascii="Times New Roman;Times;serif" w:hAnsi="Times New Roman;Times;serif"/>
          <w:b/>
          <w:sz w:val="24"/>
        </w:rPr>
        <w:t>Exhibit A</w:t>
      </w:r>
      <w:r>
        <w:rPr>
          <w:rFonts w:ascii="Times New Roman;Times;serif" w:hAnsi="Times New Roman;Times;serif"/>
          <w:sz w:val="24"/>
        </w:rPr>
        <w:t>.</w:t>
      </w:r>
    </w:p>
    <w:p>
      <w:pPr>
        <w:pStyle w:val="TextBody"/>
        <w:bidi w:val="0"/>
        <w:spacing w:before="235" w:after="0"/>
        <w:ind w:left="0" w:right="350" w:hanging="0"/>
        <w:jc w:val="both"/>
        <w:rPr>
          <w:rFonts w:ascii="Times New Roman;Times;serif" w:hAnsi="Times New Roman;Times;serif"/>
          <w:sz w:val="22"/>
        </w:rPr>
      </w:pPr>
      <w:r>
        <w:rPr>
          <w:rFonts w:ascii="Times New Roman;Times;serif" w:hAnsi="Times New Roman;Times;serif"/>
          <w:b/>
          <w:sz w:val="24"/>
        </w:rPr>
        <w:t>3.</w:t>
      </w:r>
      <w:r>
        <w:rPr>
          <w:rFonts w:ascii="Times New Roman;Times;serif" w:hAnsi="Times New Roman;Times;serif"/>
          <w:smallCaps/>
          <w:sz w:val="22"/>
        </w:rPr>
        <w:t xml:space="preserve"> </w:t>
      </w:r>
      <w:r>
        <w:rPr>
          <w:rFonts w:ascii="Times New Roman;Times;serif" w:hAnsi="Times New Roman;Times;serif"/>
          <w:b/>
          <w:smallCaps/>
          <w:sz w:val="24"/>
        </w:rPr>
        <w:t>Independent Contractor Relationship.</w:t>
      </w:r>
      <w:r>
        <w:rPr>
          <w:rFonts w:ascii="Times New Roman;Times;serif" w:hAnsi="Times New Roman;Times;serif"/>
          <w:smallCaps/>
          <w:spacing w:val="40"/>
          <w:sz w:val="22"/>
        </w:rPr>
        <w:t xml:space="preserve"> </w:t>
      </w:r>
      <w:r>
        <w:rPr>
          <w:rFonts w:ascii="Times New Roman;Times;serif" w:hAnsi="Times New Roman;Times;serif"/>
          <w:sz w:val="24"/>
        </w:rPr>
        <w:t>Consultant’s relationship with Company is that of an independent contractor, and nothing in this Agreement is intended to, or should be construed to, create a partnership, agency, joint venture or employment relationship with Company.</w:t>
      </w:r>
      <w:r>
        <w:rPr>
          <w:rFonts w:ascii="Times New Roman;Times;serif" w:hAnsi="Times New Roman;Times;serif"/>
          <w:spacing w:val="40"/>
          <w:sz w:val="22"/>
        </w:rPr>
        <w:t xml:space="preserve"> </w:t>
      </w:r>
      <w:r>
        <w:rPr>
          <w:rFonts w:ascii="Times New Roman;Times;serif" w:hAnsi="Times New Roman;Times;serif"/>
          <w:sz w:val="24"/>
        </w:rPr>
        <w:t>Consultant is not entitled to and will be excluded from participating in any of Company’s benefit plans or programs (and Consultant waives the right to receive any such benefits).</w:t>
      </w:r>
      <w:r>
        <w:rPr>
          <w:rFonts w:ascii="Times New Roman;Times;serif" w:hAnsi="Times New Roman;Times;serif"/>
          <w:spacing w:val="40"/>
          <w:sz w:val="22"/>
        </w:rPr>
        <w:t xml:space="preserve"> </w:t>
      </w:r>
      <w:r>
        <w:rPr>
          <w:rFonts w:ascii="Times New Roman;Times;serif" w:hAnsi="Times New Roman;Times;serif"/>
          <w:sz w:val="24"/>
        </w:rPr>
        <w:t>Consultant is solely responsible for all tax returns, payments, or reports required to be filed with or made to any federal, state or local tax authority with respect to Consultant’s receipt of fees under this Agreement.</w:t>
      </w:r>
      <w:r>
        <w:rPr>
          <w:rFonts w:ascii="Times New Roman;Times;serif" w:hAnsi="Times New Roman;Times;serif"/>
          <w:spacing w:val="40"/>
          <w:sz w:val="22"/>
        </w:rPr>
        <w:t xml:space="preserve"> </w:t>
      </w:r>
      <w:r>
        <w:rPr>
          <w:rFonts w:ascii="Times New Roman;Times;serif" w:hAnsi="Times New Roman;Times;serif"/>
          <w:sz w:val="24"/>
        </w:rPr>
        <w:t>Consultant is not authorized to make any representation, contract or commitment on behalf of Company unless specifically requested or authorized to do so by an executive officer of Company.</w:t>
      </w:r>
      <w:r>
        <w:rPr>
          <w:rFonts w:ascii="Times New Roman;Times;serif" w:hAnsi="Times New Roman;Times;serif"/>
          <w:spacing w:val="40"/>
          <w:sz w:val="22"/>
        </w:rPr>
        <w:t xml:space="preserve"> </w:t>
      </w:r>
      <w:r>
        <w:rPr>
          <w:rFonts w:ascii="Times New Roman;Times;serif" w:hAnsi="Times New Roman;Times;serif"/>
          <w:sz w:val="24"/>
        </w:rPr>
        <w:t>No part of Consultant’s compensation will be subject to withholding by Company for the payment of any social security, federal, state or any other employee payroll taxes.</w:t>
      </w:r>
    </w:p>
    <w:p>
      <w:pPr>
        <w:pStyle w:val="TextBody"/>
        <w:bidi w:val="0"/>
        <w:spacing w:before="241" w:after="283"/>
        <w:ind w:left="0" w:right="351" w:hanging="0"/>
        <w:jc w:val="both"/>
        <w:rPr>
          <w:rFonts w:ascii="Times New Roman;Times;serif" w:hAnsi="Times New Roman;Times;serif"/>
          <w:sz w:val="22"/>
        </w:rPr>
      </w:pPr>
      <w:r>
        <w:rPr>
          <w:rFonts w:ascii="Times New Roman;Times;serif" w:hAnsi="Times New Roman;Times;serif"/>
          <w:b/>
          <w:sz w:val="24"/>
        </w:rPr>
        <w:t>4.</w:t>
      </w:r>
      <w:bookmarkStart w:id="1033" w:name="4._Non-Disclosure_of_Proprietary_Informa"/>
      <w:bookmarkEnd w:id="1033"/>
      <w:r>
        <w:rPr>
          <w:rFonts w:ascii="Times New Roman;Times;serif" w:hAnsi="Times New Roman;Times;serif"/>
          <w:b/>
          <w:sz w:val="24"/>
        </w:rPr>
        <w:t>N</w:t>
      </w:r>
      <w:r>
        <w:rPr>
          <w:rFonts w:ascii="Times New Roman;Times;serif" w:hAnsi="Times New Roman;Times;serif"/>
          <w:b/>
          <w:sz w:val="19"/>
        </w:rPr>
        <w:t>ON</w:t>
      </w:r>
      <w:r>
        <w:rPr>
          <w:rFonts w:ascii="Times New Roman;Times;serif" w:hAnsi="Times New Roman;Times;serif"/>
          <w:b/>
          <w:sz w:val="24"/>
        </w:rPr>
        <w:t>-D</w:t>
      </w:r>
      <w:r>
        <w:rPr>
          <w:rFonts w:ascii="Times New Roman;Times;serif" w:hAnsi="Times New Roman;Times;serif"/>
          <w:b/>
          <w:sz w:val="19"/>
        </w:rPr>
        <w:t xml:space="preserve">ISCLOSURE OF </w:t>
      </w:r>
      <w:r>
        <w:rPr>
          <w:rFonts w:ascii="Times New Roman;Times;serif" w:hAnsi="Times New Roman;Times;serif"/>
          <w:b/>
          <w:sz w:val="24"/>
        </w:rPr>
        <w:t>P</w:t>
      </w:r>
      <w:r>
        <w:rPr>
          <w:rFonts w:ascii="Times New Roman;Times;serif" w:hAnsi="Times New Roman;Times;serif"/>
          <w:b/>
          <w:sz w:val="19"/>
        </w:rPr>
        <w:t xml:space="preserve">ROPRIETARY </w:t>
      </w:r>
      <w:r>
        <w:rPr>
          <w:rFonts w:ascii="Times New Roman;Times;serif" w:hAnsi="Times New Roman;Times;serif"/>
          <w:b/>
          <w:sz w:val="24"/>
        </w:rPr>
        <w:t>I</w:t>
      </w:r>
      <w:r>
        <w:rPr>
          <w:rFonts w:ascii="Times New Roman;Times;serif" w:hAnsi="Times New Roman;Times;serif"/>
          <w:b/>
          <w:sz w:val="19"/>
        </w:rPr>
        <w:t>NFORMATION</w:t>
      </w:r>
      <w:r>
        <w:rPr>
          <w:rFonts w:ascii="Times New Roman;Times;serif" w:hAnsi="Times New Roman;Times;serif"/>
          <w:b/>
          <w:sz w:val="24"/>
        </w:rPr>
        <w:t xml:space="preserve">. </w:t>
      </w:r>
      <w:r>
        <w:rPr>
          <w:rFonts w:ascii="Times New Roman;Times;serif" w:hAnsi="Times New Roman;Times;serif"/>
          <w:sz w:val="24"/>
        </w:rPr>
        <w:t>Consultant recognizes that Consultant will be exposed to, have access to and</w:t>
      </w:r>
      <w:r>
        <w:rPr>
          <w:rFonts w:ascii="Times New Roman;Times;serif" w:hAnsi="Times New Roman;Times;serif"/>
          <w:spacing w:val="-1"/>
          <w:sz w:val="22"/>
        </w:rPr>
        <w:t xml:space="preserve"> </w:t>
      </w:r>
      <w:r>
        <w:rPr>
          <w:rFonts w:ascii="Times New Roman;Times;serif" w:hAnsi="Times New Roman;Times;serif"/>
          <w:sz w:val="24"/>
        </w:rPr>
        <w:t>be engaged in the development of information regarding the trade secrets, technology, strategic sales/marketing plans, intellectual property, and confidential business activities of the Company and its affiliated entities.</w:t>
      </w:r>
      <w:r>
        <w:rPr>
          <w:rFonts w:ascii="Times New Roman;Times;serif" w:hAnsi="Times New Roman;Times;serif"/>
          <w:spacing w:val="80"/>
          <w:sz w:val="22"/>
        </w:rPr>
        <w:t xml:space="preserve"> </w:t>
      </w:r>
      <w:r>
        <w:rPr>
          <w:rFonts w:ascii="Times New Roman;Times;serif" w:hAnsi="Times New Roman;Times;serif"/>
          <w:sz w:val="24"/>
        </w:rPr>
        <w:t>At all times during Consultant’s engagement and thereafter, Consultant will hold in strictest confidence and will not disclose, use, lecture upon or publish any of the Proprietary Information (defined below), except as such disclosure, use or publication may be required in connection with the Services, or unless an officer of the Company expressly authorizes such in writing, or unless otherwise permitted or required</w:t>
      </w:r>
      <w:r>
        <w:rPr>
          <w:rFonts w:ascii="Times New Roman;Times;serif" w:hAnsi="Times New Roman;Times;serif"/>
          <w:spacing w:val="-15"/>
          <w:sz w:val="22"/>
        </w:rPr>
        <w:t xml:space="preserve"> </w:t>
      </w:r>
      <w:r>
        <w:rPr>
          <w:rFonts w:ascii="Times New Roman;Times;serif" w:hAnsi="Times New Roman;Times;serif"/>
          <w:sz w:val="24"/>
        </w:rPr>
        <w:t>by</w:t>
      </w:r>
      <w:r>
        <w:rPr>
          <w:rFonts w:ascii="Times New Roman;Times;serif" w:hAnsi="Times New Roman;Times;serif"/>
          <w:spacing w:val="-15"/>
          <w:sz w:val="22"/>
        </w:rPr>
        <w:t xml:space="preserve"> </w:t>
      </w:r>
      <w:r>
        <w:rPr>
          <w:rFonts w:ascii="Times New Roman;Times;serif" w:hAnsi="Times New Roman;Times;serif"/>
          <w:sz w:val="24"/>
        </w:rPr>
        <w:t>law.</w:t>
      </w:r>
      <w:r>
        <w:rPr>
          <w:rFonts w:ascii="Times New Roman;Times;serif" w:hAnsi="Times New Roman;Times;serif"/>
          <w:spacing w:val="-15"/>
          <w:sz w:val="22"/>
        </w:rPr>
        <w:t xml:space="preserve"> </w:t>
      </w:r>
      <w:r>
        <w:rPr>
          <w:rFonts w:ascii="Times New Roman;Times;serif" w:hAnsi="Times New Roman;Times;serif"/>
          <w:sz w:val="22"/>
        </w:rPr>
        <w:t>“</w:t>
      </w:r>
      <w:r>
        <w:rPr>
          <w:rFonts w:ascii="Times New Roman;Times;serif" w:hAnsi="Times New Roman;Times;serif"/>
          <w:b/>
          <w:sz w:val="24"/>
        </w:rPr>
        <w:t>Proprietary</w:t>
      </w:r>
      <w:r>
        <w:rPr>
          <w:rFonts w:ascii="Times New Roman;Times;serif" w:hAnsi="Times New Roman;Times;serif"/>
          <w:spacing w:val="-15"/>
          <w:sz w:val="22"/>
        </w:rPr>
        <w:t xml:space="preserve"> </w:t>
      </w:r>
      <w:r>
        <w:rPr>
          <w:rFonts w:ascii="Times New Roman;Times;serif" w:hAnsi="Times New Roman;Times;serif"/>
          <w:b/>
          <w:sz w:val="24"/>
        </w:rPr>
        <w:t>Information</w:t>
      </w:r>
      <w:r>
        <w:rPr>
          <w:rFonts w:ascii="Times New Roman;Times;serif" w:hAnsi="Times New Roman;Times;serif"/>
          <w:sz w:val="22"/>
        </w:rPr>
        <w:t>”</w:t>
      </w:r>
      <w:r>
        <w:rPr>
          <w:rFonts w:ascii="Times New Roman;Times;serif" w:hAnsi="Times New Roman;Times;serif"/>
          <w:spacing w:val="-15"/>
          <w:sz w:val="22"/>
        </w:rPr>
        <w:t xml:space="preserve"> </w:t>
      </w:r>
      <w:r>
        <w:rPr>
          <w:rFonts w:ascii="Times New Roman;Times;serif" w:hAnsi="Times New Roman;Times;serif"/>
          <w:sz w:val="24"/>
        </w:rPr>
        <w:t>includes</w:t>
      </w:r>
      <w:r>
        <w:rPr>
          <w:rFonts w:ascii="Times New Roman;Times;serif" w:hAnsi="Times New Roman;Times;serif"/>
          <w:spacing w:val="-15"/>
          <w:sz w:val="22"/>
        </w:rPr>
        <w:t xml:space="preserve"> </w:t>
      </w:r>
      <w:r>
        <w:rPr>
          <w:rFonts w:ascii="Times New Roman;Times;serif" w:hAnsi="Times New Roman;Times;serif"/>
          <w:sz w:val="24"/>
        </w:rPr>
        <w:t>(a)</w:t>
      </w:r>
      <w:r>
        <w:rPr>
          <w:rFonts w:ascii="Times New Roman;Times;serif" w:hAnsi="Times New Roman;Times;serif"/>
          <w:spacing w:val="-14"/>
          <w:sz w:val="22"/>
        </w:rPr>
        <w:t xml:space="preserve"> </w:t>
      </w:r>
      <w:r>
        <w:rPr>
          <w:rFonts w:ascii="Times New Roman;Times;serif" w:hAnsi="Times New Roman;Times;serif"/>
          <w:sz w:val="24"/>
        </w:rPr>
        <w:t>trade</w:t>
      </w:r>
      <w:r>
        <w:rPr>
          <w:rFonts w:ascii="Times New Roman;Times;serif" w:hAnsi="Times New Roman;Times;serif"/>
          <w:spacing w:val="-15"/>
          <w:sz w:val="22"/>
        </w:rPr>
        <w:t xml:space="preserve"> </w:t>
      </w:r>
      <w:r>
        <w:rPr>
          <w:rFonts w:ascii="Times New Roman;Times;serif" w:hAnsi="Times New Roman;Times;serif"/>
          <w:sz w:val="24"/>
        </w:rPr>
        <w:t>secrets,</w:t>
      </w:r>
      <w:r>
        <w:rPr>
          <w:rFonts w:ascii="Times New Roman;Times;serif" w:hAnsi="Times New Roman;Times;serif"/>
          <w:spacing w:val="-14"/>
          <w:sz w:val="22"/>
        </w:rPr>
        <w:t xml:space="preserve"> </w:t>
      </w:r>
      <w:r>
        <w:rPr>
          <w:rFonts w:ascii="Times New Roman;Times;serif" w:hAnsi="Times New Roman;Times;serif"/>
          <w:sz w:val="24"/>
        </w:rPr>
        <w:t>inventions,</w:t>
      </w:r>
      <w:r>
        <w:rPr>
          <w:rFonts w:ascii="Times New Roman;Times;serif" w:hAnsi="Times New Roman;Times;serif"/>
          <w:spacing w:val="-15"/>
          <w:sz w:val="22"/>
        </w:rPr>
        <w:t xml:space="preserve"> </w:t>
      </w:r>
      <w:r>
        <w:rPr>
          <w:rFonts w:ascii="Times New Roman;Times;serif" w:hAnsi="Times New Roman;Times;serif"/>
          <w:sz w:val="24"/>
        </w:rPr>
        <w:t>ideas,</w:t>
      </w:r>
      <w:r>
        <w:rPr>
          <w:rFonts w:ascii="Times New Roman;Times;serif" w:hAnsi="Times New Roman;Times;serif"/>
          <w:spacing w:val="-15"/>
          <w:sz w:val="22"/>
        </w:rPr>
        <w:t xml:space="preserve"> </w:t>
      </w:r>
      <w:r>
        <w:rPr>
          <w:rFonts w:ascii="Times New Roman;Times;serif" w:hAnsi="Times New Roman;Times;serif"/>
          <w:sz w:val="24"/>
        </w:rPr>
        <w:t>samples, procedures and formulations for producing any such samples, media and/or processes, data, methods, software, source and object codes, programs, other works of authorship, know-how, improvements, discoveries, developments, developmental or experimental work, designs, and techniques; (b) information regarding the operation of the Company, including its products, services, marketing and business</w:t>
      </w:r>
      <w:r>
        <w:rPr>
          <w:rFonts w:ascii="Times New Roman;Times;serif" w:hAnsi="Times New Roman;Times;serif"/>
          <w:spacing w:val="-2"/>
          <w:sz w:val="22"/>
        </w:rPr>
        <w:t xml:space="preserve"> </w:t>
      </w:r>
      <w:r>
        <w:rPr>
          <w:rFonts w:ascii="Times New Roman;Times;serif" w:hAnsi="Times New Roman;Times;serif"/>
          <w:sz w:val="24"/>
        </w:rPr>
        <w:t>plans, budgets,</w:t>
      </w:r>
      <w:r>
        <w:rPr>
          <w:rFonts w:ascii="Times New Roman;Times;serif" w:hAnsi="Times New Roman;Times;serif"/>
          <w:spacing w:val="40"/>
          <w:sz w:val="22"/>
        </w:rPr>
        <w:t xml:space="preserve"> </w:t>
      </w:r>
      <w:r>
        <w:rPr>
          <w:rFonts w:ascii="Times New Roman;Times;serif" w:hAnsi="Times New Roman;Times;serif"/>
          <w:sz w:val="24"/>
        </w:rPr>
        <w:t>accounts, financial statements, contracts,</w:t>
      </w:r>
      <w:r>
        <w:rPr>
          <w:rFonts w:ascii="Times New Roman;Times;serif" w:hAnsi="Times New Roman;Times;serif"/>
          <w:spacing w:val="-2"/>
          <w:sz w:val="22"/>
        </w:rPr>
        <w:t xml:space="preserve"> </w:t>
      </w:r>
      <w:r>
        <w:rPr>
          <w:rFonts w:ascii="Times New Roman;Times;serif" w:hAnsi="Times New Roman;Times;serif"/>
          <w:sz w:val="24"/>
        </w:rPr>
        <w:t>prices and costs, suppliers, and current or potential customers; (c) information regarding the skills and compensation</w:t>
      </w:r>
      <w:r>
        <w:rPr>
          <w:rFonts w:ascii="Times New Roman;Times;serif" w:hAnsi="Times New Roman;Times;serif"/>
          <w:spacing w:val="-7"/>
          <w:sz w:val="22"/>
        </w:rPr>
        <w:t xml:space="preserve"> </w:t>
      </w:r>
      <w:r>
        <w:rPr>
          <w:rFonts w:ascii="Times New Roman;Times;serif" w:hAnsi="Times New Roman;Times;serif"/>
          <w:sz w:val="24"/>
        </w:rPr>
        <w:t>of</w:t>
      </w:r>
      <w:r>
        <w:rPr>
          <w:rFonts w:ascii="Times New Roman;Times;serif" w:hAnsi="Times New Roman;Times;serif"/>
          <w:spacing w:val="-5"/>
          <w:sz w:val="22"/>
        </w:rPr>
        <w:t xml:space="preserve"> </w:t>
      </w:r>
      <w:r>
        <w:rPr>
          <w:rFonts w:ascii="Times New Roman;Times;serif" w:hAnsi="Times New Roman;Times;serif"/>
          <w:sz w:val="24"/>
        </w:rPr>
        <w:t>employees,</w:t>
      </w:r>
      <w:r>
        <w:rPr>
          <w:rFonts w:ascii="Times New Roman;Times;serif" w:hAnsi="Times New Roman;Times;serif"/>
          <w:spacing w:val="-5"/>
          <w:sz w:val="22"/>
        </w:rPr>
        <w:t xml:space="preserve"> </w:t>
      </w:r>
      <w:r>
        <w:rPr>
          <w:rFonts w:ascii="Times New Roman;Times;serif" w:hAnsi="Times New Roman;Times;serif"/>
          <w:sz w:val="24"/>
        </w:rPr>
        <w:t>contractors,</w:t>
      </w:r>
      <w:r>
        <w:rPr>
          <w:rFonts w:ascii="Times New Roman;Times;serif" w:hAnsi="Times New Roman;Times;serif"/>
          <w:spacing w:val="-5"/>
          <w:sz w:val="22"/>
        </w:rPr>
        <w:t xml:space="preserve"> </w:t>
      </w:r>
      <w:r>
        <w:rPr>
          <w:rFonts w:ascii="Times New Roman;Times;serif" w:hAnsi="Times New Roman;Times;serif"/>
          <w:sz w:val="24"/>
        </w:rPr>
        <w:t>and</w:t>
      </w:r>
      <w:r>
        <w:rPr>
          <w:rFonts w:ascii="Times New Roman;Times;serif" w:hAnsi="Times New Roman;Times;serif"/>
          <w:spacing w:val="-12"/>
          <w:sz w:val="22"/>
        </w:rPr>
        <w:t xml:space="preserve"> </w:t>
      </w:r>
      <w:r>
        <w:rPr>
          <w:rFonts w:ascii="Times New Roman;Times;serif" w:hAnsi="Times New Roman;Times;serif"/>
          <w:sz w:val="24"/>
        </w:rPr>
        <w:t>any</w:t>
      </w:r>
      <w:r>
        <w:rPr>
          <w:rFonts w:ascii="Times New Roman;Times;serif" w:hAnsi="Times New Roman;Times;serif"/>
          <w:spacing w:val="-7"/>
          <w:sz w:val="22"/>
        </w:rPr>
        <w:t xml:space="preserve"> </w:t>
      </w:r>
      <w:r>
        <w:rPr>
          <w:rFonts w:ascii="Times New Roman;Times;serif" w:hAnsi="Times New Roman;Times;serif"/>
          <w:sz w:val="24"/>
        </w:rPr>
        <w:t>other</w:t>
      </w:r>
      <w:r>
        <w:rPr>
          <w:rFonts w:ascii="Times New Roman;Times;serif" w:hAnsi="Times New Roman;Times;serif"/>
          <w:spacing w:val="-6"/>
          <w:sz w:val="22"/>
        </w:rPr>
        <w:t xml:space="preserve"> </w:t>
      </w:r>
      <w:r>
        <w:rPr>
          <w:rFonts w:ascii="Times New Roman;Times;serif" w:hAnsi="Times New Roman;Times;serif"/>
          <w:sz w:val="24"/>
        </w:rPr>
        <w:t>service</w:t>
      </w:r>
      <w:r>
        <w:rPr>
          <w:rFonts w:ascii="Times New Roman;Times;serif" w:hAnsi="Times New Roman;Times;serif"/>
          <w:spacing w:val="-8"/>
          <w:sz w:val="22"/>
        </w:rPr>
        <w:t xml:space="preserve"> </w:t>
      </w:r>
      <w:r>
        <w:rPr>
          <w:rFonts w:ascii="Times New Roman;Times;serif" w:hAnsi="Times New Roman;Times;serif"/>
          <w:sz w:val="24"/>
        </w:rPr>
        <w:t>providers</w:t>
      </w:r>
      <w:r>
        <w:rPr>
          <w:rFonts w:ascii="Times New Roman;Times;serif" w:hAnsi="Times New Roman;Times;serif"/>
          <w:spacing w:val="-9"/>
          <w:sz w:val="22"/>
        </w:rPr>
        <w:t xml:space="preserve"> </w:t>
      </w:r>
      <w:r>
        <w:rPr>
          <w:rFonts w:ascii="Times New Roman;Times;serif" w:hAnsi="Times New Roman;Times;serif"/>
          <w:sz w:val="24"/>
        </w:rPr>
        <w:t>of</w:t>
      </w:r>
      <w:r>
        <w:rPr>
          <w:rFonts w:ascii="Times New Roman;Times;serif" w:hAnsi="Times New Roman;Times;serif"/>
          <w:spacing w:val="-5"/>
          <w:sz w:val="22"/>
        </w:rPr>
        <w:t xml:space="preserve"> </w:t>
      </w:r>
      <w:r>
        <w:rPr>
          <w:rFonts w:ascii="Times New Roman;Times;serif" w:hAnsi="Times New Roman;Times;serif"/>
          <w:sz w:val="24"/>
        </w:rPr>
        <w:t>the</w:t>
      </w:r>
      <w:r>
        <w:rPr>
          <w:rFonts w:ascii="Times New Roman;Times;serif" w:hAnsi="Times New Roman;Times;serif"/>
          <w:spacing w:val="-7"/>
          <w:sz w:val="22"/>
        </w:rPr>
        <w:t xml:space="preserve"> </w:t>
      </w:r>
      <w:r>
        <w:rPr>
          <w:rFonts w:ascii="Times New Roman;Times;serif" w:hAnsi="Times New Roman;Times;serif"/>
          <w:sz w:val="24"/>
        </w:rPr>
        <w:t>Company;</w:t>
      </w:r>
      <w:r>
        <w:rPr>
          <w:rFonts w:ascii="Times New Roman;Times;serif" w:hAnsi="Times New Roman;Times;serif"/>
          <w:spacing w:val="-7"/>
          <w:sz w:val="22"/>
        </w:rPr>
        <w:t xml:space="preserve"> </w:t>
      </w:r>
      <w:r>
        <w:rPr>
          <w:rFonts w:ascii="Times New Roman;Times;serif" w:hAnsi="Times New Roman;Times;serif"/>
          <w:sz w:val="24"/>
        </w:rPr>
        <w:t>and</w:t>
      </w:r>
      <w:r>
        <w:rPr>
          <w:rFonts w:ascii="Times New Roman;Times;serif" w:hAnsi="Times New Roman;Times;serif"/>
          <w:spacing w:val="-12"/>
          <w:sz w:val="22"/>
        </w:rPr>
        <w:t xml:space="preserve"> </w:t>
      </w:r>
      <w:r>
        <w:rPr>
          <w:rFonts w:ascii="Times New Roman;Times;serif" w:hAnsi="Times New Roman;Times;serif"/>
          <w:sz w:val="24"/>
        </w:rPr>
        <w:t>(d) the</w:t>
      </w:r>
      <w:r>
        <w:rPr>
          <w:rFonts w:ascii="Times New Roman;Times;serif" w:hAnsi="Times New Roman;Times;serif"/>
          <w:spacing w:val="-8"/>
          <w:sz w:val="22"/>
        </w:rPr>
        <w:t xml:space="preserve"> </w:t>
      </w:r>
      <w:r>
        <w:rPr>
          <w:rFonts w:ascii="Times New Roman;Times;serif" w:hAnsi="Times New Roman;Times;serif"/>
          <w:sz w:val="24"/>
        </w:rPr>
        <w:t>existence</w:t>
      </w:r>
      <w:r>
        <w:rPr>
          <w:rFonts w:ascii="Times New Roman;Times;serif" w:hAnsi="Times New Roman;Times;serif"/>
          <w:spacing w:val="-8"/>
          <w:sz w:val="22"/>
        </w:rPr>
        <w:t xml:space="preserve"> </w:t>
      </w:r>
      <w:r>
        <w:rPr>
          <w:rFonts w:ascii="Times New Roman;Times;serif" w:hAnsi="Times New Roman;Times;serif"/>
          <w:sz w:val="24"/>
        </w:rPr>
        <w:t>of</w:t>
      </w:r>
      <w:r>
        <w:rPr>
          <w:rFonts w:ascii="Times New Roman;Times;serif" w:hAnsi="Times New Roman;Times;serif"/>
          <w:spacing w:val="-10"/>
          <w:sz w:val="22"/>
        </w:rPr>
        <w:t xml:space="preserve"> </w:t>
      </w:r>
      <w:r>
        <w:rPr>
          <w:rFonts w:ascii="Times New Roman;Times;serif" w:hAnsi="Times New Roman;Times;serif"/>
          <w:sz w:val="24"/>
        </w:rPr>
        <w:t>any</w:t>
      </w:r>
      <w:r>
        <w:rPr>
          <w:rFonts w:ascii="Times New Roman;Times;serif" w:hAnsi="Times New Roman;Times;serif"/>
          <w:spacing w:val="-12"/>
          <w:sz w:val="22"/>
        </w:rPr>
        <w:t xml:space="preserve"> </w:t>
      </w:r>
      <w:r>
        <w:rPr>
          <w:rFonts w:ascii="Times New Roman;Times;serif" w:hAnsi="Times New Roman;Times;serif"/>
          <w:sz w:val="24"/>
        </w:rPr>
        <w:t>business</w:t>
      </w:r>
      <w:r>
        <w:rPr>
          <w:rFonts w:ascii="Times New Roman;Times;serif" w:hAnsi="Times New Roman;Times;serif"/>
          <w:spacing w:val="-9"/>
          <w:sz w:val="22"/>
        </w:rPr>
        <w:t xml:space="preserve"> </w:t>
      </w:r>
      <w:r>
        <w:rPr>
          <w:rFonts w:ascii="Times New Roman;Times;serif" w:hAnsi="Times New Roman;Times;serif"/>
          <w:sz w:val="24"/>
        </w:rPr>
        <w:t>discussions,</w:t>
      </w:r>
      <w:r>
        <w:rPr>
          <w:rFonts w:ascii="Times New Roman;Times;serif" w:hAnsi="Times New Roman;Times;serif"/>
          <w:spacing w:val="-6"/>
          <w:sz w:val="22"/>
        </w:rPr>
        <w:t xml:space="preserve"> </w:t>
      </w:r>
      <w:r>
        <w:rPr>
          <w:rFonts w:ascii="Times New Roman;Times;serif" w:hAnsi="Times New Roman;Times;serif"/>
          <w:sz w:val="24"/>
        </w:rPr>
        <w:t>negotiations,</w:t>
      </w:r>
      <w:r>
        <w:rPr>
          <w:rFonts w:ascii="Times New Roman;Times;serif" w:hAnsi="Times New Roman;Times;serif"/>
          <w:spacing w:val="-6"/>
          <w:sz w:val="22"/>
        </w:rPr>
        <w:t xml:space="preserve"> </w:t>
      </w:r>
      <w:r>
        <w:rPr>
          <w:rFonts w:ascii="Times New Roman;Times;serif" w:hAnsi="Times New Roman;Times;serif"/>
          <w:sz w:val="24"/>
        </w:rPr>
        <w:t>or</w:t>
      </w:r>
      <w:r>
        <w:rPr>
          <w:rFonts w:ascii="Times New Roman;Times;serif" w:hAnsi="Times New Roman;Times;serif"/>
          <w:spacing w:val="-10"/>
          <w:sz w:val="22"/>
        </w:rPr>
        <w:t xml:space="preserve"> </w:t>
      </w:r>
      <w:r>
        <w:rPr>
          <w:rFonts w:ascii="Times New Roman;Times;serif" w:hAnsi="Times New Roman;Times;serif"/>
          <w:sz w:val="24"/>
        </w:rPr>
        <w:t>agreements</w:t>
      </w:r>
      <w:r>
        <w:rPr>
          <w:rFonts w:ascii="Times New Roman;Times;serif" w:hAnsi="Times New Roman;Times;serif"/>
          <w:spacing w:val="-9"/>
          <w:sz w:val="22"/>
        </w:rPr>
        <w:t xml:space="preserve"> </w:t>
      </w:r>
      <w:r>
        <w:rPr>
          <w:rFonts w:ascii="Times New Roman;Times;serif" w:hAnsi="Times New Roman;Times;serif"/>
          <w:sz w:val="24"/>
        </w:rPr>
        <w:t>between</w:t>
      </w:r>
      <w:r>
        <w:rPr>
          <w:rFonts w:ascii="Times New Roman;Times;serif" w:hAnsi="Times New Roman;Times;serif"/>
          <w:spacing w:val="-12"/>
          <w:sz w:val="22"/>
        </w:rPr>
        <w:t xml:space="preserve"> </w:t>
      </w:r>
      <w:r>
        <w:rPr>
          <w:rFonts w:ascii="Times New Roman;Times;serif" w:hAnsi="Times New Roman;Times;serif"/>
          <w:sz w:val="24"/>
        </w:rPr>
        <w:t>any</w:t>
      </w:r>
      <w:r>
        <w:rPr>
          <w:rFonts w:ascii="Times New Roman;Times;serif" w:hAnsi="Times New Roman;Times;serif"/>
          <w:spacing w:val="-8"/>
          <w:sz w:val="22"/>
        </w:rPr>
        <w:t xml:space="preserve"> </w:t>
      </w:r>
      <w:r>
        <w:rPr>
          <w:rFonts w:ascii="Times New Roman;Times;serif" w:hAnsi="Times New Roman;Times;serif"/>
          <w:sz w:val="24"/>
        </w:rPr>
        <w:t>third</w:t>
      </w:r>
      <w:r>
        <w:rPr>
          <w:rFonts w:ascii="Times New Roman;Times;serif" w:hAnsi="Times New Roman;Times;serif"/>
          <w:spacing w:val="-12"/>
          <w:sz w:val="22"/>
        </w:rPr>
        <w:t xml:space="preserve"> </w:t>
      </w:r>
      <w:r>
        <w:rPr>
          <w:rFonts w:ascii="Times New Roman;Times;serif" w:hAnsi="Times New Roman;Times;serif"/>
          <w:sz w:val="24"/>
        </w:rPr>
        <w:t>party</w:t>
      </w:r>
      <w:r>
        <w:rPr>
          <w:rFonts w:ascii="Times New Roman;Times;serif" w:hAnsi="Times New Roman;Times;serif"/>
          <w:spacing w:val="-11"/>
          <w:sz w:val="22"/>
        </w:rPr>
        <w:t xml:space="preserve"> </w:t>
      </w:r>
      <w:r>
        <w:rPr>
          <w:rFonts w:ascii="Times New Roman;Times;serif" w:hAnsi="Times New Roman;Times;serif"/>
          <w:sz w:val="24"/>
        </w:rPr>
        <w:t>and the</w:t>
      </w:r>
      <w:r>
        <w:rPr>
          <w:rFonts w:ascii="Times New Roman;Times;serif" w:hAnsi="Times New Roman;Times;serif"/>
          <w:spacing w:val="-3"/>
          <w:sz w:val="22"/>
        </w:rPr>
        <w:t xml:space="preserve"> </w:t>
      </w:r>
      <w:r>
        <w:rPr>
          <w:rFonts w:ascii="Times New Roman;Times;serif" w:hAnsi="Times New Roman;Times;serif"/>
          <w:sz w:val="24"/>
        </w:rPr>
        <w:t>Company.</w:t>
      </w:r>
      <w:r>
        <w:rPr>
          <w:rFonts w:ascii="Times New Roman;Times;serif" w:hAnsi="Times New Roman;Times;serif"/>
          <w:spacing w:val="40"/>
          <w:sz w:val="22"/>
        </w:rPr>
        <w:t xml:space="preserve"> </w:t>
      </w:r>
      <w:r>
        <w:rPr>
          <w:rFonts w:ascii="Times New Roman;Times;serif" w:hAnsi="Times New Roman;Times;serif"/>
          <w:sz w:val="24"/>
        </w:rPr>
        <w:t>Notwithstanding</w:t>
      </w:r>
      <w:r>
        <w:rPr>
          <w:rFonts w:ascii="Times New Roman;Times;serif" w:hAnsi="Times New Roman;Times;serif"/>
          <w:spacing w:val="-2"/>
          <w:sz w:val="22"/>
        </w:rPr>
        <w:t xml:space="preserve"> </w:t>
      </w:r>
      <w:r>
        <w:rPr>
          <w:rFonts w:ascii="Times New Roman;Times;serif" w:hAnsi="Times New Roman;Times;serif"/>
          <w:sz w:val="24"/>
        </w:rPr>
        <w:t>the</w:t>
      </w:r>
      <w:r>
        <w:rPr>
          <w:rFonts w:ascii="Times New Roman;Times;serif" w:hAnsi="Times New Roman;Times;serif"/>
          <w:spacing w:val="-3"/>
          <w:sz w:val="22"/>
        </w:rPr>
        <w:t xml:space="preserve"> </w:t>
      </w:r>
      <w:r>
        <w:rPr>
          <w:rFonts w:ascii="Times New Roman;Times;serif" w:hAnsi="Times New Roman;Times;serif"/>
          <w:sz w:val="24"/>
        </w:rPr>
        <w:t>foregoing,</w:t>
      </w:r>
      <w:r>
        <w:rPr>
          <w:rFonts w:ascii="Times New Roman;Times;serif" w:hAnsi="Times New Roman;Times;serif"/>
          <w:spacing w:val="-4"/>
          <w:sz w:val="22"/>
        </w:rPr>
        <w:t xml:space="preserve"> </w:t>
      </w:r>
      <w:r>
        <w:rPr>
          <w:rFonts w:ascii="Times New Roman;Times;serif" w:hAnsi="Times New Roman;Times;serif"/>
          <w:sz w:val="24"/>
        </w:rPr>
        <w:t>Consultant</w:t>
      </w:r>
      <w:r>
        <w:rPr>
          <w:rFonts w:ascii="Times New Roman;Times;serif" w:hAnsi="Times New Roman;Times;serif"/>
          <w:spacing w:val="-2"/>
          <w:sz w:val="22"/>
        </w:rPr>
        <w:t xml:space="preserve"> </w:t>
      </w:r>
      <w:r>
        <w:rPr>
          <w:rFonts w:ascii="Times New Roman;Times;serif" w:hAnsi="Times New Roman;Times;serif"/>
          <w:sz w:val="24"/>
        </w:rPr>
        <w:t>understands</w:t>
      </w:r>
      <w:r>
        <w:rPr>
          <w:rFonts w:ascii="Times New Roman;Times;serif" w:hAnsi="Times New Roman;Times;serif"/>
          <w:spacing w:val="-4"/>
          <w:sz w:val="22"/>
        </w:rPr>
        <w:t xml:space="preserve"> </w:t>
      </w:r>
      <w:r>
        <w:rPr>
          <w:rFonts w:ascii="Times New Roman;Times;serif" w:hAnsi="Times New Roman;Times;serif"/>
          <w:sz w:val="24"/>
        </w:rPr>
        <w:t>that</w:t>
      </w:r>
      <w:r>
        <w:rPr>
          <w:rFonts w:ascii="Times New Roman;Times;serif" w:hAnsi="Times New Roman;Times;serif"/>
          <w:spacing w:val="-2"/>
          <w:sz w:val="22"/>
        </w:rPr>
        <w:t xml:space="preserve"> </w:t>
      </w:r>
      <w:r>
        <w:rPr>
          <w:rFonts w:ascii="Times New Roman;Times;serif" w:hAnsi="Times New Roman;Times;serif"/>
          <w:sz w:val="24"/>
        </w:rPr>
        <w:t>an</w:t>
      </w:r>
      <w:r>
        <w:rPr>
          <w:rFonts w:ascii="Times New Roman;Times;serif" w:hAnsi="Times New Roman;Times;serif"/>
          <w:spacing w:val="-2"/>
          <w:sz w:val="22"/>
        </w:rPr>
        <w:t xml:space="preserve"> </w:t>
      </w:r>
      <w:r>
        <w:rPr>
          <w:rFonts w:ascii="Times New Roman;Times;serif" w:hAnsi="Times New Roman;Times;serif"/>
          <w:sz w:val="24"/>
        </w:rPr>
        <w:t>individual</w:t>
      </w:r>
      <w:r>
        <w:rPr>
          <w:rFonts w:ascii="Times New Roman;Times;serif" w:hAnsi="Times New Roman;Times;serif"/>
          <w:spacing w:val="-7"/>
          <w:sz w:val="22"/>
        </w:rPr>
        <w:t xml:space="preserve"> </w:t>
      </w:r>
      <w:r>
        <w:rPr>
          <w:rFonts w:ascii="Times New Roman;Times;serif" w:hAnsi="Times New Roman;Times;serif"/>
          <w:sz w:val="24"/>
        </w:rPr>
        <w:t>may</w:t>
      </w:r>
      <w:r>
        <w:rPr>
          <w:rFonts w:ascii="Times New Roman;Times;serif" w:hAnsi="Times New Roman;Times;serif"/>
          <w:spacing w:val="-3"/>
          <w:sz w:val="22"/>
        </w:rPr>
        <w:t xml:space="preserve"> </w:t>
      </w:r>
      <w:r>
        <w:rPr>
          <w:rFonts w:ascii="Times New Roman;Times;serif" w:hAnsi="Times New Roman;Times;serif"/>
          <w:sz w:val="24"/>
        </w:rPr>
        <w:t>not be</w:t>
      </w:r>
      <w:r>
        <w:rPr>
          <w:rFonts w:ascii="Times New Roman;Times;serif" w:hAnsi="Times New Roman;Times;serif"/>
          <w:spacing w:val="-1"/>
          <w:sz w:val="22"/>
        </w:rPr>
        <w:t xml:space="preserve"> </w:t>
      </w:r>
      <w:r>
        <w:rPr>
          <w:rFonts w:ascii="Times New Roman;Times;serif" w:hAnsi="Times New Roman;Times;serif"/>
          <w:sz w:val="24"/>
        </w:rPr>
        <w:t>held criminally or civilly liable</w:t>
      </w:r>
      <w:r>
        <w:rPr>
          <w:rFonts w:ascii="Times New Roman;Times;serif" w:hAnsi="Times New Roman;Times;serif"/>
          <w:spacing w:val="-1"/>
          <w:sz w:val="22"/>
        </w:rPr>
        <w:t xml:space="preserve"> </w:t>
      </w:r>
      <w:r>
        <w:rPr>
          <w:rFonts w:ascii="Times New Roman;Times;serif" w:hAnsi="Times New Roman;Times;serif"/>
          <w:sz w:val="24"/>
        </w:rPr>
        <w:t>under any</w:t>
      </w:r>
      <w:r>
        <w:rPr>
          <w:rFonts w:ascii="Times New Roman;Times;serif" w:hAnsi="Times New Roman;Times;serif"/>
          <w:spacing w:val="-5"/>
          <w:sz w:val="22"/>
        </w:rPr>
        <w:t xml:space="preserve"> </w:t>
      </w:r>
      <w:r>
        <w:rPr>
          <w:rFonts w:ascii="Times New Roman;Times;serif" w:hAnsi="Times New Roman;Times;serif"/>
          <w:sz w:val="24"/>
        </w:rPr>
        <w:t>federal or state</w:t>
      </w:r>
      <w:r>
        <w:rPr>
          <w:rFonts w:ascii="Times New Roman;Times;serif" w:hAnsi="Times New Roman;Times;serif"/>
          <w:spacing w:val="-1"/>
          <w:sz w:val="22"/>
        </w:rPr>
        <w:t xml:space="preserve"> </w:t>
      </w:r>
      <w:r>
        <w:rPr>
          <w:rFonts w:ascii="Times New Roman;Times;serif" w:hAnsi="Times New Roman;Times;serif"/>
          <w:sz w:val="24"/>
        </w:rPr>
        <w:t>trade</w:t>
      </w:r>
      <w:r>
        <w:rPr>
          <w:rFonts w:ascii="Times New Roman;Times;serif" w:hAnsi="Times New Roman;Times;serif"/>
          <w:spacing w:val="-1"/>
          <w:sz w:val="22"/>
        </w:rPr>
        <w:t xml:space="preserve"> </w:t>
      </w:r>
      <w:r>
        <w:rPr>
          <w:rFonts w:ascii="Times New Roman;Times;serif" w:hAnsi="Times New Roman;Times;serif"/>
          <w:sz w:val="24"/>
        </w:rPr>
        <w:t>secret law</w:t>
      </w:r>
      <w:r>
        <w:rPr>
          <w:rFonts w:ascii="Times New Roman;Times;serif" w:hAnsi="Times New Roman;Times;serif"/>
          <w:spacing w:val="-1"/>
          <w:sz w:val="22"/>
        </w:rPr>
        <w:t xml:space="preserve"> </w:t>
      </w:r>
      <w:r>
        <w:rPr>
          <w:rFonts w:ascii="Times New Roman;Times;serif" w:hAnsi="Times New Roman;Times;serif"/>
          <w:sz w:val="24"/>
        </w:rPr>
        <w:t>for the</w:t>
      </w:r>
      <w:r>
        <w:rPr>
          <w:rFonts w:ascii="Times New Roman;Times;serif" w:hAnsi="Times New Roman;Times;serif"/>
          <w:spacing w:val="-1"/>
          <w:sz w:val="22"/>
        </w:rPr>
        <w:t xml:space="preserve"> </w:t>
      </w:r>
      <w:r>
        <w:rPr>
          <w:rFonts w:ascii="Times New Roman;Times;serif" w:hAnsi="Times New Roman;Times;serif"/>
          <w:sz w:val="24"/>
        </w:rPr>
        <w:t>disclosure</w:t>
      </w:r>
      <w:r>
        <w:rPr>
          <w:rFonts w:ascii="Times New Roman;Times;serif" w:hAnsi="Times New Roman;Times;serif"/>
          <w:spacing w:val="-1"/>
          <w:sz w:val="22"/>
        </w:rPr>
        <w:t xml:space="preserve"> </w:t>
      </w:r>
      <w:r>
        <w:rPr>
          <w:rFonts w:ascii="Times New Roman;Times;serif" w:hAnsi="Times New Roman;Times;serif"/>
          <w:sz w:val="24"/>
        </w:rPr>
        <w:t>of a</w:t>
      </w:r>
      <w:r>
        <w:rPr>
          <w:rFonts w:ascii="Times New Roman;Times;serif" w:hAnsi="Times New Roman;Times;serif"/>
          <w:spacing w:val="13"/>
          <w:sz w:val="22"/>
        </w:rPr>
        <w:t xml:space="preserve"> </w:t>
      </w:r>
      <w:r>
        <w:rPr>
          <w:rFonts w:ascii="Times New Roman;Times;serif" w:hAnsi="Times New Roman;Times;serif"/>
          <w:sz w:val="24"/>
        </w:rPr>
        <w:t>trade</w:t>
      </w:r>
      <w:r>
        <w:rPr>
          <w:rFonts w:ascii="Times New Roman;Times;serif" w:hAnsi="Times New Roman;Times;serif"/>
          <w:spacing w:val="14"/>
          <w:sz w:val="22"/>
        </w:rPr>
        <w:t xml:space="preserve"> </w:t>
      </w:r>
      <w:r>
        <w:rPr>
          <w:rFonts w:ascii="Times New Roman;Times;serif" w:hAnsi="Times New Roman;Times;serif"/>
          <w:sz w:val="24"/>
        </w:rPr>
        <w:t>secret</w:t>
      </w:r>
      <w:r>
        <w:rPr>
          <w:rFonts w:ascii="Times New Roman;Times;serif" w:hAnsi="Times New Roman;Times;serif"/>
          <w:spacing w:val="15"/>
          <w:sz w:val="22"/>
        </w:rPr>
        <w:t xml:space="preserve"> </w:t>
      </w:r>
      <w:r>
        <w:rPr>
          <w:rFonts w:ascii="Times New Roman;Times;serif" w:hAnsi="Times New Roman;Times;serif"/>
          <w:sz w:val="24"/>
        </w:rPr>
        <w:t>that:</w:t>
      </w:r>
      <w:r>
        <w:rPr>
          <w:rFonts w:ascii="Times New Roman;Times;serif" w:hAnsi="Times New Roman;Times;serif"/>
          <w:spacing w:val="16"/>
          <w:sz w:val="22"/>
        </w:rPr>
        <w:t xml:space="preserve"> </w:t>
      </w:r>
      <w:r>
        <w:rPr>
          <w:rFonts w:ascii="Times New Roman;Times;serif" w:hAnsi="Times New Roman;Times;serif"/>
          <w:sz w:val="24"/>
        </w:rPr>
        <w:t>(a)</w:t>
      </w:r>
      <w:r>
        <w:rPr>
          <w:rFonts w:ascii="Times New Roman;Times;serif" w:hAnsi="Times New Roman;Times;serif"/>
          <w:spacing w:val="17"/>
          <w:sz w:val="22"/>
        </w:rPr>
        <w:t xml:space="preserve"> </w:t>
      </w:r>
      <w:r>
        <w:rPr>
          <w:rFonts w:ascii="Times New Roman;Times;serif" w:hAnsi="Times New Roman;Times;serif"/>
          <w:sz w:val="24"/>
        </w:rPr>
        <w:t>is</w:t>
      </w:r>
      <w:r>
        <w:rPr>
          <w:rFonts w:ascii="Times New Roman;Times;serif" w:hAnsi="Times New Roman;Times;serif"/>
          <w:spacing w:val="12"/>
          <w:sz w:val="22"/>
        </w:rPr>
        <w:t xml:space="preserve"> </w:t>
      </w:r>
      <w:r>
        <w:rPr>
          <w:rFonts w:ascii="Times New Roman;Times;serif" w:hAnsi="Times New Roman;Times;serif"/>
          <w:sz w:val="24"/>
        </w:rPr>
        <w:t>made</w:t>
      </w:r>
      <w:r>
        <w:rPr>
          <w:rFonts w:ascii="Times New Roman;Times;serif" w:hAnsi="Times New Roman;Times;serif"/>
          <w:spacing w:val="14"/>
          <w:sz w:val="22"/>
        </w:rPr>
        <w:t xml:space="preserve"> </w:t>
      </w:r>
      <w:r>
        <w:rPr>
          <w:rFonts w:ascii="Times New Roman;Times;serif" w:hAnsi="Times New Roman;Times;serif"/>
          <w:sz w:val="24"/>
        </w:rPr>
        <w:t>(i)</w:t>
      </w:r>
      <w:r>
        <w:rPr>
          <w:rFonts w:ascii="Times New Roman;Times;serif" w:hAnsi="Times New Roman;Times;serif"/>
          <w:spacing w:val="12"/>
          <w:sz w:val="22"/>
        </w:rPr>
        <w:t xml:space="preserve"> </w:t>
      </w:r>
      <w:r>
        <w:rPr>
          <w:rFonts w:ascii="Times New Roman;Times;serif" w:hAnsi="Times New Roman;Times;serif"/>
          <w:sz w:val="24"/>
        </w:rPr>
        <w:t>in</w:t>
      </w:r>
      <w:r>
        <w:rPr>
          <w:rFonts w:ascii="Times New Roman;Times;serif" w:hAnsi="Times New Roman;Times;serif"/>
          <w:spacing w:val="15"/>
          <w:sz w:val="22"/>
        </w:rPr>
        <w:t xml:space="preserve"> </w:t>
      </w:r>
      <w:r>
        <w:rPr>
          <w:rFonts w:ascii="Times New Roman;Times;serif" w:hAnsi="Times New Roman;Times;serif"/>
          <w:sz w:val="24"/>
        </w:rPr>
        <w:t>confidence</w:t>
      </w:r>
      <w:r>
        <w:rPr>
          <w:rFonts w:ascii="Times New Roman;Times;serif" w:hAnsi="Times New Roman;Times;serif"/>
          <w:spacing w:val="14"/>
          <w:sz w:val="22"/>
        </w:rPr>
        <w:t xml:space="preserve"> </w:t>
      </w:r>
      <w:r>
        <w:rPr>
          <w:rFonts w:ascii="Times New Roman;Times;serif" w:hAnsi="Times New Roman;Times;serif"/>
          <w:sz w:val="24"/>
        </w:rPr>
        <w:t>to</w:t>
      </w:r>
      <w:r>
        <w:rPr>
          <w:rFonts w:ascii="Times New Roman;Times;serif" w:hAnsi="Times New Roman;Times;serif"/>
          <w:spacing w:val="15"/>
          <w:sz w:val="22"/>
        </w:rPr>
        <w:t xml:space="preserve"> </w:t>
      </w:r>
      <w:r>
        <w:rPr>
          <w:rFonts w:ascii="Times New Roman;Times;serif" w:hAnsi="Times New Roman;Times;serif"/>
          <w:sz w:val="24"/>
        </w:rPr>
        <w:t>a</w:t>
      </w:r>
      <w:r>
        <w:rPr>
          <w:rFonts w:ascii="Times New Roman;Times;serif" w:hAnsi="Times New Roman;Times;serif"/>
          <w:spacing w:val="13"/>
          <w:sz w:val="22"/>
        </w:rPr>
        <w:t xml:space="preserve"> </w:t>
      </w:r>
      <w:r>
        <w:rPr>
          <w:rFonts w:ascii="Times New Roman;Times;serif" w:hAnsi="Times New Roman;Times;serif"/>
          <w:sz w:val="24"/>
        </w:rPr>
        <w:t>federal,</w:t>
      </w:r>
      <w:r>
        <w:rPr>
          <w:rFonts w:ascii="Times New Roman;Times;serif" w:hAnsi="Times New Roman;Times;serif"/>
          <w:spacing w:val="18"/>
          <w:sz w:val="22"/>
        </w:rPr>
        <w:t xml:space="preserve"> </w:t>
      </w:r>
      <w:r>
        <w:rPr>
          <w:rFonts w:ascii="Times New Roman;Times;serif" w:hAnsi="Times New Roman;Times;serif"/>
          <w:sz w:val="24"/>
        </w:rPr>
        <w:t>state,</w:t>
      </w:r>
      <w:r>
        <w:rPr>
          <w:rFonts w:ascii="Times New Roman;Times;serif" w:hAnsi="Times New Roman;Times;serif"/>
          <w:spacing w:val="17"/>
          <w:sz w:val="22"/>
        </w:rPr>
        <w:t xml:space="preserve"> </w:t>
      </w:r>
      <w:r>
        <w:rPr>
          <w:rFonts w:ascii="Times New Roman;Times;serif" w:hAnsi="Times New Roman;Times;serif"/>
          <w:sz w:val="24"/>
        </w:rPr>
        <w:t>or</w:t>
      </w:r>
      <w:r>
        <w:rPr>
          <w:rFonts w:ascii="Times New Roman;Times;serif" w:hAnsi="Times New Roman;Times;serif"/>
          <w:spacing w:val="16"/>
          <w:sz w:val="22"/>
        </w:rPr>
        <w:t xml:space="preserve"> </w:t>
      </w:r>
      <w:r>
        <w:rPr>
          <w:rFonts w:ascii="Times New Roman;Times;serif" w:hAnsi="Times New Roman;Times;serif"/>
          <w:sz w:val="24"/>
        </w:rPr>
        <w:t>local</w:t>
      </w:r>
      <w:r>
        <w:rPr>
          <w:rFonts w:ascii="Times New Roman;Times;serif" w:hAnsi="Times New Roman;Times;serif"/>
          <w:spacing w:val="16"/>
          <w:sz w:val="22"/>
        </w:rPr>
        <w:t xml:space="preserve"> </w:t>
      </w:r>
      <w:r>
        <w:rPr>
          <w:rFonts w:ascii="Times New Roman;Times;serif" w:hAnsi="Times New Roman;Times;serif"/>
          <w:sz w:val="24"/>
        </w:rPr>
        <w:t>government</w:t>
      </w:r>
      <w:r>
        <w:rPr>
          <w:rFonts w:ascii="Times New Roman;Times;serif" w:hAnsi="Times New Roman;Times;serif"/>
          <w:spacing w:val="15"/>
          <w:sz w:val="22"/>
        </w:rPr>
        <w:t xml:space="preserve"> </w:t>
      </w:r>
      <w:r>
        <w:rPr>
          <w:rFonts w:ascii="Times New Roman;Times;serif" w:hAnsi="Times New Roman;Times;serif"/>
          <w:spacing w:val="-2"/>
          <w:sz w:val="24"/>
        </w:rPr>
        <w:t>official,</w:t>
      </w:r>
    </w:p>
    <w:p>
      <w:pPr>
        <w:pStyle w:val="TextBody"/>
        <w:bidi w:val="0"/>
        <w:spacing w:before="0" w:after="0"/>
        <w:ind w:left="0" w:right="350" w:hanging="0"/>
        <w:jc w:val="both"/>
        <w:rPr/>
      </w:pPr>
      <w:r>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w:t>
      </w:r>
    </w:p>
    <w:p>
      <w:pPr>
        <w:pStyle w:val="TextBody"/>
        <w:bidi w:val="0"/>
        <w:spacing w:lineRule="auto" w:line="16"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lineRule="auto" w:line="288" w:before="77" w:after="0"/>
        <w:ind w:left="0" w:right="359" w:hanging="0"/>
        <w:jc w:val="both"/>
        <w:rPr>
          <w:rFonts w:ascii="Times New Roman;Times;serif" w:hAnsi="Times New Roman;Times;serif"/>
          <w:sz w:val="24"/>
        </w:rPr>
      </w:pPr>
      <w:r>
        <w:rPr>
          <w:rFonts w:ascii="Times New Roman;Times;serif" w:hAnsi="Times New Roman;Times;serif"/>
          <w:sz w:val="24"/>
        </w:rPr>
        <w:t>either directly or indirectly, or to an attorney; and (ii) solely for the purpose of reporting or investigating</w:t>
      </w:r>
      <w:r>
        <w:rPr>
          <w:rFonts w:ascii="Times New Roman;Times;serif" w:hAnsi="Times New Roman;Times;serif"/>
          <w:spacing w:val="-1"/>
          <w:sz w:val="24"/>
        </w:rPr>
        <w:t xml:space="preserve"> </w:t>
      </w:r>
      <w:r>
        <w:rPr>
          <w:rFonts w:ascii="Times New Roman;Times;serif" w:hAnsi="Times New Roman;Times;serif"/>
          <w:sz w:val="24"/>
        </w:rPr>
        <w:t>a</w:t>
      </w:r>
      <w:r>
        <w:rPr>
          <w:rFonts w:ascii="Times New Roman;Times;serif" w:hAnsi="Times New Roman;Times;serif"/>
          <w:spacing w:val="-2"/>
          <w:sz w:val="24"/>
        </w:rPr>
        <w:t xml:space="preserve"> </w:t>
      </w:r>
      <w:r>
        <w:rPr>
          <w:rFonts w:ascii="Times New Roman;Times;serif" w:hAnsi="Times New Roman;Times;serif"/>
          <w:sz w:val="24"/>
        </w:rPr>
        <w:t>suspected</w:t>
      </w:r>
      <w:r>
        <w:rPr>
          <w:rFonts w:ascii="Times New Roman;Times;serif" w:hAnsi="Times New Roman;Times;serif"/>
          <w:spacing w:val="-2"/>
          <w:sz w:val="24"/>
        </w:rPr>
        <w:t xml:space="preserve"> </w:t>
      </w:r>
      <w:r>
        <w:rPr>
          <w:rFonts w:ascii="Times New Roman;Times;serif" w:hAnsi="Times New Roman;Times;serif"/>
          <w:sz w:val="24"/>
        </w:rPr>
        <w:t>violation</w:t>
      </w:r>
      <w:r>
        <w:rPr>
          <w:rFonts w:ascii="Times New Roman;Times;serif" w:hAnsi="Times New Roman;Times;serif"/>
          <w:spacing w:val="-1"/>
          <w:sz w:val="24"/>
        </w:rPr>
        <w:t xml:space="preserve"> </w:t>
      </w:r>
      <w:r>
        <w:rPr>
          <w:rFonts w:ascii="Times New Roman;Times;serif" w:hAnsi="Times New Roman;Times;serif"/>
          <w:sz w:val="24"/>
        </w:rPr>
        <w:t>of law;</w:t>
      </w:r>
      <w:r>
        <w:rPr>
          <w:rFonts w:ascii="Times New Roman;Times;serif" w:hAnsi="Times New Roman;Times;serif"/>
          <w:spacing w:val="-1"/>
          <w:sz w:val="24"/>
        </w:rPr>
        <w:t xml:space="preserve"> </w:t>
      </w:r>
      <w:r>
        <w:rPr>
          <w:rFonts w:ascii="Times New Roman;Times;serif" w:hAnsi="Times New Roman;Times;serif"/>
          <w:sz w:val="24"/>
        </w:rPr>
        <w:t>or (b)</w:t>
      </w:r>
      <w:r>
        <w:rPr>
          <w:rFonts w:ascii="Times New Roman;Times;serif" w:hAnsi="Times New Roman;Times;serif"/>
          <w:spacing w:val="-4"/>
          <w:sz w:val="24"/>
        </w:rPr>
        <w:t xml:space="preserve"> </w:t>
      </w:r>
      <w:r>
        <w:rPr>
          <w:rFonts w:ascii="Times New Roman;Times;serif" w:hAnsi="Times New Roman;Times;serif"/>
          <w:sz w:val="24"/>
        </w:rPr>
        <w:t>is</w:t>
      </w:r>
      <w:r>
        <w:rPr>
          <w:rFonts w:ascii="Times New Roman;Times;serif" w:hAnsi="Times New Roman;Times;serif"/>
          <w:spacing w:val="-3"/>
          <w:sz w:val="24"/>
        </w:rPr>
        <w:t xml:space="preserve"> </w:t>
      </w:r>
      <w:r>
        <w:rPr>
          <w:rFonts w:ascii="Times New Roman;Times;serif" w:hAnsi="Times New Roman;Times;serif"/>
          <w:sz w:val="24"/>
        </w:rPr>
        <w:t>made</w:t>
      </w:r>
      <w:r>
        <w:rPr>
          <w:rFonts w:ascii="Times New Roman;Times;serif" w:hAnsi="Times New Roman;Times;serif"/>
          <w:spacing w:val="-3"/>
          <w:sz w:val="24"/>
        </w:rPr>
        <w:t xml:space="preserve"> </w:t>
      </w:r>
      <w:r>
        <w:rPr>
          <w:rFonts w:ascii="Times New Roman;Times;serif" w:hAnsi="Times New Roman;Times;serif"/>
          <w:sz w:val="24"/>
        </w:rPr>
        <w:t>in</w:t>
      </w:r>
      <w:r>
        <w:rPr>
          <w:rFonts w:ascii="Times New Roman;Times;serif" w:hAnsi="Times New Roman;Times;serif"/>
          <w:spacing w:val="-1"/>
          <w:sz w:val="24"/>
        </w:rPr>
        <w:t xml:space="preserve"> </w:t>
      </w:r>
      <w:r>
        <w:rPr>
          <w:rFonts w:ascii="Times New Roman;Times;serif" w:hAnsi="Times New Roman;Times;serif"/>
          <w:sz w:val="24"/>
        </w:rPr>
        <w:t>a</w:t>
      </w:r>
      <w:r>
        <w:rPr>
          <w:rFonts w:ascii="Times New Roman;Times;serif" w:hAnsi="Times New Roman;Times;serif"/>
          <w:spacing w:val="-2"/>
          <w:sz w:val="24"/>
        </w:rPr>
        <w:t xml:space="preserve"> </w:t>
      </w:r>
      <w:r>
        <w:rPr>
          <w:rFonts w:ascii="Times New Roman;Times;serif" w:hAnsi="Times New Roman;Times;serif"/>
          <w:sz w:val="24"/>
        </w:rPr>
        <w:t>complaint</w:t>
      </w:r>
      <w:r>
        <w:rPr>
          <w:rFonts w:ascii="Times New Roman;Times;serif" w:hAnsi="Times New Roman;Times;serif"/>
          <w:spacing w:val="-1"/>
          <w:sz w:val="24"/>
        </w:rPr>
        <w:t xml:space="preserve"> </w:t>
      </w:r>
      <w:r>
        <w:rPr>
          <w:rFonts w:ascii="Times New Roman;Times;serif" w:hAnsi="Times New Roman;Times;serif"/>
          <w:sz w:val="24"/>
        </w:rPr>
        <w:t>or other document</w:t>
      </w:r>
      <w:r>
        <w:rPr>
          <w:rFonts w:ascii="Times New Roman;Times;serif" w:hAnsi="Times New Roman;Times;serif"/>
          <w:spacing w:val="-1"/>
          <w:sz w:val="24"/>
        </w:rPr>
        <w:t xml:space="preserve"> </w:t>
      </w:r>
      <w:r>
        <w:rPr>
          <w:rFonts w:ascii="Times New Roman;Times;serif" w:hAnsi="Times New Roman;Times;serif"/>
          <w:sz w:val="24"/>
        </w:rPr>
        <w:t>that</w:t>
      </w:r>
      <w:r>
        <w:rPr>
          <w:rFonts w:ascii="Times New Roman;Times;serif" w:hAnsi="Times New Roman;Times;serif"/>
          <w:spacing w:val="-1"/>
          <w:sz w:val="24"/>
        </w:rPr>
        <w:t xml:space="preserve"> </w:t>
      </w:r>
      <w:r>
        <w:rPr>
          <w:rFonts w:ascii="Times New Roman;Times;serif" w:hAnsi="Times New Roman;Times;serif"/>
          <w:sz w:val="24"/>
        </w:rPr>
        <w:t>is filed under seal in a lawsuit or other proceeding.</w:t>
      </w:r>
    </w:p>
    <w:p>
      <w:pPr>
        <w:pStyle w:val="TextBody"/>
        <w:bidi w:val="0"/>
        <w:spacing w:before="0" w:after="0"/>
        <w:ind w:left="0" w:right="350" w:hanging="0"/>
        <w:jc w:val="both"/>
        <w:rPr>
          <w:rFonts w:ascii="Times New Roman;Times;serif" w:hAnsi="Times New Roman;Times;serif"/>
          <w:sz w:val="22"/>
        </w:rPr>
      </w:pPr>
      <w:r>
        <w:rPr>
          <w:rFonts w:ascii="Times New Roman;Times;serif" w:hAnsi="Times New Roman;Times;serif"/>
          <w:b/>
          <w:sz w:val="24"/>
        </w:rPr>
        <w:t>5.</w:t>
      </w:r>
      <w:bookmarkStart w:id="1034" w:name="5._Assignment_of_Work_Product.__Consulta"/>
      <w:bookmarkEnd w:id="1034"/>
      <w:r>
        <w:rPr>
          <w:rFonts w:ascii="Times New Roman;Times;serif" w:hAnsi="Times New Roman;Times;serif"/>
          <w:b/>
          <w:sz w:val="24"/>
        </w:rPr>
        <w:t>A</w:t>
      </w:r>
      <w:r>
        <w:rPr>
          <w:rFonts w:ascii="Times New Roman;Times;serif" w:hAnsi="Times New Roman;Times;serif"/>
          <w:b/>
          <w:sz w:val="19"/>
        </w:rPr>
        <w:t xml:space="preserve">SSIGNMENT OF </w:t>
      </w:r>
      <w:r>
        <w:rPr>
          <w:rFonts w:ascii="Times New Roman;Times;serif" w:hAnsi="Times New Roman;Times;serif"/>
          <w:b/>
          <w:sz w:val="24"/>
        </w:rPr>
        <w:t>W</w:t>
      </w:r>
      <w:r>
        <w:rPr>
          <w:rFonts w:ascii="Times New Roman;Times;serif" w:hAnsi="Times New Roman;Times;serif"/>
          <w:b/>
          <w:sz w:val="19"/>
        </w:rPr>
        <w:t xml:space="preserve">ORK </w:t>
      </w:r>
      <w:r>
        <w:rPr>
          <w:rFonts w:ascii="Times New Roman;Times;serif" w:hAnsi="Times New Roman;Times;serif"/>
          <w:b/>
          <w:sz w:val="24"/>
        </w:rPr>
        <w:t>P</w:t>
      </w:r>
      <w:r>
        <w:rPr>
          <w:rFonts w:ascii="Times New Roman;Times;serif" w:hAnsi="Times New Roman;Times;serif"/>
          <w:b/>
          <w:sz w:val="19"/>
        </w:rPr>
        <w:t>RODUCT</w:t>
      </w:r>
      <w:r>
        <w:rPr>
          <w:rFonts w:ascii="Times New Roman;Times;serif" w:hAnsi="Times New Roman;Times;serif"/>
          <w:b/>
          <w:sz w:val="24"/>
        </w:rPr>
        <w:t>.</w:t>
      </w:r>
      <w:r>
        <w:rPr>
          <w:rFonts w:ascii="Times New Roman;Times;serif" w:hAnsi="Times New Roman;Times;serif"/>
          <w:spacing w:val="40"/>
          <w:sz w:val="22"/>
        </w:rPr>
        <w:t xml:space="preserve"> </w:t>
      </w:r>
      <w:r>
        <w:rPr>
          <w:rFonts w:ascii="Times New Roman;Times;serif" w:hAnsi="Times New Roman;Times;serif"/>
          <w:sz w:val="24"/>
        </w:rPr>
        <w:t>Consultant hereby assigns to the Company any and all right, title, and</w:t>
      </w:r>
      <w:r>
        <w:rPr>
          <w:rFonts w:ascii="Times New Roman;Times;serif" w:hAnsi="Times New Roman;Times;serif"/>
          <w:spacing w:val="-1"/>
          <w:sz w:val="22"/>
        </w:rPr>
        <w:t xml:space="preserve"> </w:t>
      </w:r>
      <w:r>
        <w:rPr>
          <w:rFonts w:ascii="Times New Roman;Times;serif" w:hAnsi="Times New Roman;Times;serif"/>
          <w:sz w:val="24"/>
        </w:rPr>
        <w:t>interest in</w:t>
      </w:r>
      <w:r>
        <w:rPr>
          <w:rFonts w:ascii="Times New Roman;Times;serif" w:hAnsi="Times New Roman;Times;serif"/>
          <w:spacing w:val="-1"/>
          <w:sz w:val="22"/>
        </w:rPr>
        <w:t xml:space="preserve"> </w:t>
      </w:r>
      <w:r>
        <w:rPr>
          <w:rFonts w:ascii="Times New Roman;Times;serif" w:hAnsi="Times New Roman;Times;serif"/>
          <w:sz w:val="24"/>
        </w:rPr>
        <w:t>and</w:t>
      </w:r>
      <w:r>
        <w:rPr>
          <w:rFonts w:ascii="Times New Roman;Times;serif" w:hAnsi="Times New Roman;Times;serif"/>
          <w:spacing w:val="-1"/>
          <w:sz w:val="22"/>
        </w:rPr>
        <w:t xml:space="preserve"> </w:t>
      </w:r>
      <w:r>
        <w:rPr>
          <w:rFonts w:ascii="Times New Roman;Times;serif" w:hAnsi="Times New Roman;Times;serif"/>
          <w:sz w:val="24"/>
        </w:rPr>
        <w:t>to any</w:t>
      </w:r>
      <w:r>
        <w:rPr>
          <w:rFonts w:ascii="Times New Roman;Times;serif" w:hAnsi="Times New Roman;Times;serif"/>
          <w:spacing w:val="-1"/>
          <w:sz w:val="22"/>
        </w:rPr>
        <w:t xml:space="preserve"> </w:t>
      </w:r>
      <w:r>
        <w:rPr>
          <w:rFonts w:ascii="Times New Roman;Times;serif" w:hAnsi="Times New Roman;Times;serif"/>
          <w:sz w:val="24"/>
        </w:rPr>
        <w:t>and</w:t>
      </w:r>
      <w:r>
        <w:rPr>
          <w:rFonts w:ascii="Times New Roman;Times;serif" w:hAnsi="Times New Roman;Times;serif"/>
          <w:spacing w:val="-1"/>
          <w:sz w:val="22"/>
        </w:rPr>
        <w:t xml:space="preserve"> </w:t>
      </w:r>
      <w:r>
        <w:rPr>
          <w:rFonts w:ascii="Times New Roman;Times;serif" w:hAnsi="Times New Roman;Times;serif"/>
          <w:sz w:val="24"/>
        </w:rPr>
        <w:t>all Work Product (and all intellectual</w:t>
      </w:r>
      <w:r>
        <w:rPr>
          <w:rFonts w:ascii="Times New Roman;Times;serif" w:hAnsi="Times New Roman;Times;serif"/>
          <w:spacing w:val="-1"/>
          <w:sz w:val="22"/>
        </w:rPr>
        <w:t xml:space="preserve"> </w:t>
      </w:r>
      <w:r>
        <w:rPr>
          <w:rFonts w:ascii="Times New Roman;Times;serif" w:hAnsi="Times New Roman;Times;serif"/>
          <w:sz w:val="24"/>
        </w:rPr>
        <w:t>property</w:t>
      </w:r>
      <w:r>
        <w:rPr>
          <w:rFonts w:ascii="Times New Roman;Times;serif" w:hAnsi="Times New Roman;Times;serif"/>
          <w:spacing w:val="-1"/>
          <w:sz w:val="22"/>
        </w:rPr>
        <w:t xml:space="preserve"> </w:t>
      </w:r>
      <w:r>
        <w:rPr>
          <w:rFonts w:ascii="Times New Roman;Times;serif" w:hAnsi="Times New Roman;Times;serif"/>
          <w:sz w:val="24"/>
        </w:rPr>
        <w:t>rights with respect thereto)</w:t>
      </w:r>
      <w:r>
        <w:rPr>
          <w:rFonts w:ascii="Times New Roman;Times;serif" w:hAnsi="Times New Roman;Times;serif"/>
          <w:spacing w:val="-1"/>
          <w:sz w:val="22"/>
        </w:rPr>
        <w:t xml:space="preserve"> </w:t>
      </w:r>
      <w:r>
        <w:rPr>
          <w:rFonts w:ascii="Times New Roman;Times;serif" w:hAnsi="Times New Roman;Times;serif"/>
          <w:sz w:val="24"/>
        </w:rPr>
        <w:t>made,</w:t>
      </w:r>
      <w:r>
        <w:rPr>
          <w:rFonts w:ascii="Times New Roman;Times;serif" w:hAnsi="Times New Roman;Times;serif"/>
          <w:spacing w:val="-1"/>
          <w:sz w:val="22"/>
        </w:rPr>
        <w:t xml:space="preserve"> </w:t>
      </w:r>
      <w:r>
        <w:rPr>
          <w:rFonts w:ascii="Times New Roman;Times;serif" w:hAnsi="Times New Roman;Times;serif"/>
          <w:sz w:val="24"/>
        </w:rPr>
        <w:t>conceived,</w:t>
      </w:r>
      <w:r>
        <w:rPr>
          <w:rFonts w:ascii="Times New Roman;Times;serif" w:hAnsi="Times New Roman;Times;serif"/>
          <w:spacing w:val="-1"/>
          <w:sz w:val="22"/>
        </w:rPr>
        <w:t xml:space="preserve"> </w:t>
      </w:r>
      <w:r>
        <w:rPr>
          <w:rFonts w:ascii="Times New Roman;Times;serif" w:hAnsi="Times New Roman;Times;serif"/>
          <w:sz w:val="24"/>
        </w:rPr>
        <w:t>reduced</w:t>
      </w:r>
      <w:r>
        <w:rPr>
          <w:rFonts w:ascii="Times New Roman;Times;serif" w:hAnsi="Times New Roman;Times;serif"/>
          <w:spacing w:val="-3"/>
          <w:sz w:val="22"/>
        </w:rPr>
        <w:t xml:space="preserve"> </w:t>
      </w:r>
      <w:r>
        <w:rPr>
          <w:rFonts w:ascii="Times New Roman;Times;serif" w:hAnsi="Times New Roman;Times;serif"/>
          <w:sz w:val="24"/>
        </w:rPr>
        <w:t>to</w:t>
      </w:r>
      <w:r>
        <w:rPr>
          <w:rFonts w:ascii="Times New Roman;Times;serif" w:hAnsi="Times New Roman;Times;serif"/>
          <w:spacing w:val="-3"/>
          <w:sz w:val="22"/>
        </w:rPr>
        <w:t xml:space="preserve"> </w:t>
      </w:r>
      <w:r>
        <w:rPr>
          <w:rFonts w:ascii="Times New Roman;Times;serif" w:hAnsi="Times New Roman;Times;serif"/>
          <w:sz w:val="24"/>
        </w:rPr>
        <w:t>practice, or</w:t>
      </w:r>
      <w:r>
        <w:rPr>
          <w:rFonts w:ascii="Times New Roman;Times;serif" w:hAnsi="Times New Roman;Times;serif"/>
          <w:spacing w:val="-2"/>
          <w:sz w:val="22"/>
        </w:rPr>
        <w:t xml:space="preserve"> </w:t>
      </w:r>
      <w:r>
        <w:rPr>
          <w:rFonts w:ascii="Times New Roman;Times;serif" w:hAnsi="Times New Roman;Times;serif"/>
          <w:sz w:val="24"/>
        </w:rPr>
        <w:t>learned by Consultant,</w:t>
      </w:r>
      <w:r>
        <w:rPr>
          <w:rFonts w:ascii="Times New Roman;Times;serif" w:hAnsi="Times New Roman;Times;serif"/>
          <w:spacing w:val="-1"/>
          <w:sz w:val="22"/>
        </w:rPr>
        <w:t xml:space="preserve"> </w:t>
      </w:r>
      <w:r>
        <w:rPr>
          <w:rFonts w:ascii="Times New Roman;Times;serif" w:hAnsi="Times New Roman;Times;serif"/>
          <w:sz w:val="24"/>
        </w:rPr>
        <w:t>either</w:t>
      </w:r>
      <w:r>
        <w:rPr>
          <w:rFonts w:ascii="Times New Roman;Times;serif" w:hAnsi="Times New Roman;Times;serif"/>
          <w:spacing w:val="-2"/>
          <w:sz w:val="22"/>
        </w:rPr>
        <w:t xml:space="preserve"> </w:t>
      </w:r>
      <w:r>
        <w:rPr>
          <w:rFonts w:ascii="Times New Roman;Times;serif" w:hAnsi="Times New Roman;Times;serif"/>
          <w:sz w:val="24"/>
        </w:rPr>
        <w:t>alone or with others, during the period of Consultant’s engagement by the Company.</w:t>
      </w:r>
      <w:r>
        <w:rPr>
          <w:rFonts w:ascii="Times New Roman;Times;serif" w:hAnsi="Times New Roman;Times;serif"/>
          <w:spacing w:val="40"/>
          <w:sz w:val="22"/>
        </w:rPr>
        <w:t xml:space="preserve"> </w:t>
      </w:r>
      <w:r>
        <w:rPr>
          <w:rFonts w:ascii="Times New Roman;Times;serif" w:hAnsi="Times New Roman;Times;serif"/>
          <w:sz w:val="24"/>
        </w:rPr>
        <w:t>Consultant will execute</w:t>
      </w:r>
      <w:r>
        <w:rPr>
          <w:rFonts w:ascii="Times New Roman;Times;serif" w:hAnsi="Times New Roman;Times;serif"/>
          <w:spacing w:val="-1"/>
          <w:sz w:val="22"/>
        </w:rPr>
        <w:t xml:space="preserve"> </w:t>
      </w:r>
      <w:r>
        <w:rPr>
          <w:rFonts w:ascii="Times New Roman;Times;serif" w:hAnsi="Times New Roman;Times;serif"/>
          <w:sz w:val="24"/>
        </w:rPr>
        <w:t>such</w:t>
      </w:r>
      <w:r>
        <w:rPr>
          <w:rFonts w:ascii="Times New Roman;Times;serif" w:hAnsi="Times New Roman;Times;serif"/>
          <w:spacing w:val="-1"/>
          <w:sz w:val="22"/>
        </w:rPr>
        <w:t xml:space="preserve"> </w:t>
      </w:r>
      <w:r>
        <w:rPr>
          <w:rFonts w:ascii="Times New Roman;Times;serif" w:hAnsi="Times New Roman;Times;serif"/>
          <w:sz w:val="24"/>
        </w:rPr>
        <w:t>documents</w:t>
      </w:r>
      <w:r>
        <w:rPr>
          <w:rFonts w:ascii="Times New Roman;Times;serif" w:hAnsi="Times New Roman;Times;serif"/>
          <w:spacing w:val="-3"/>
          <w:sz w:val="22"/>
        </w:rPr>
        <w:t xml:space="preserve"> </w:t>
      </w:r>
      <w:r>
        <w:rPr>
          <w:rFonts w:ascii="Times New Roman;Times;serif" w:hAnsi="Times New Roman;Times;serif"/>
          <w:sz w:val="24"/>
        </w:rPr>
        <w:t>and</w:t>
      </w:r>
      <w:r>
        <w:rPr>
          <w:rFonts w:ascii="Times New Roman;Times;serif" w:hAnsi="Times New Roman;Times;serif"/>
          <w:spacing w:val="-1"/>
          <w:sz w:val="22"/>
        </w:rPr>
        <w:t xml:space="preserve"> </w:t>
      </w:r>
      <w:r>
        <w:rPr>
          <w:rFonts w:ascii="Times New Roman;Times;serif" w:hAnsi="Times New Roman;Times;serif"/>
          <w:sz w:val="24"/>
        </w:rPr>
        <w:t>perform</w:t>
      </w:r>
      <w:r>
        <w:rPr>
          <w:rFonts w:ascii="Times New Roman;Times;serif" w:hAnsi="Times New Roman;Times;serif"/>
          <w:spacing w:val="-1"/>
          <w:sz w:val="22"/>
        </w:rPr>
        <w:t xml:space="preserve"> </w:t>
      </w:r>
      <w:r>
        <w:rPr>
          <w:rFonts w:ascii="Times New Roman;Times;serif" w:hAnsi="Times New Roman;Times;serif"/>
          <w:sz w:val="24"/>
        </w:rPr>
        <w:t>such</w:t>
      </w:r>
      <w:r>
        <w:rPr>
          <w:rFonts w:ascii="Times New Roman;Times;serif" w:hAnsi="Times New Roman;Times;serif"/>
          <w:spacing w:val="-1"/>
          <w:sz w:val="22"/>
        </w:rPr>
        <w:t xml:space="preserve"> </w:t>
      </w:r>
      <w:r>
        <w:rPr>
          <w:rFonts w:ascii="Times New Roman;Times;serif" w:hAnsi="Times New Roman;Times;serif"/>
          <w:sz w:val="24"/>
        </w:rPr>
        <w:t>other</w:t>
      </w:r>
      <w:r>
        <w:rPr>
          <w:rFonts w:ascii="Times New Roman;Times;serif" w:hAnsi="Times New Roman;Times;serif"/>
          <w:spacing w:val="-5"/>
          <w:sz w:val="22"/>
        </w:rPr>
        <w:t xml:space="preserve"> </w:t>
      </w:r>
      <w:r>
        <w:rPr>
          <w:rFonts w:ascii="Times New Roman;Times;serif" w:hAnsi="Times New Roman;Times;serif"/>
          <w:sz w:val="24"/>
        </w:rPr>
        <w:t>acts</w:t>
      </w:r>
      <w:r>
        <w:rPr>
          <w:rFonts w:ascii="Times New Roman;Times;serif" w:hAnsi="Times New Roman;Times;serif"/>
          <w:spacing w:val="-3"/>
          <w:sz w:val="22"/>
        </w:rPr>
        <w:t xml:space="preserve"> </w:t>
      </w:r>
      <w:r>
        <w:rPr>
          <w:rFonts w:ascii="Times New Roman;Times;serif" w:hAnsi="Times New Roman;Times;serif"/>
          <w:sz w:val="24"/>
        </w:rPr>
        <w:t>as</w:t>
      </w:r>
      <w:r>
        <w:rPr>
          <w:rFonts w:ascii="Times New Roman;Times;serif" w:hAnsi="Times New Roman;Times;serif"/>
          <w:spacing w:val="-3"/>
          <w:sz w:val="22"/>
        </w:rPr>
        <w:t xml:space="preserve"> </w:t>
      </w:r>
      <w:r>
        <w:rPr>
          <w:rFonts w:ascii="Times New Roman;Times;serif" w:hAnsi="Times New Roman;Times;serif"/>
          <w:sz w:val="24"/>
        </w:rPr>
        <w:t>Company</w:t>
      </w:r>
      <w:r>
        <w:rPr>
          <w:rFonts w:ascii="Times New Roman;Times;serif" w:hAnsi="Times New Roman;Times;serif"/>
          <w:spacing w:val="-2"/>
          <w:sz w:val="22"/>
        </w:rPr>
        <w:t xml:space="preserve"> </w:t>
      </w:r>
      <w:r>
        <w:rPr>
          <w:rFonts w:ascii="Times New Roman;Times;serif" w:hAnsi="Times New Roman;Times;serif"/>
          <w:sz w:val="24"/>
        </w:rPr>
        <w:t>may</w:t>
      </w:r>
      <w:r>
        <w:rPr>
          <w:rFonts w:ascii="Times New Roman;Times;serif" w:hAnsi="Times New Roman;Times;serif"/>
          <w:spacing w:val="-2"/>
          <w:sz w:val="22"/>
        </w:rPr>
        <w:t xml:space="preserve"> </w:t>
      </w:r>
      <w:r>
        <w:rPr>
          <w:rFonts w:ascii="Times New Roman;Times;serif" w:hAnsi="Times New Roman;Times;serif"/>
          <w:sz w:val="24"/>
        </w:rPr>
        <w:t>reasonably</w:t>
      </w:r>
      <w:r>
        <w:rPr>
          <w:rFonts w:ascii="Times New Roman;Times;serif" w:hAnsi="Times New Roman;Times;serif"/>
          <w:spacing w:val="-1"/>
          <w:sz w:val="22"/>
        </w:rPr>
        <w:t xml:space="preserve"> </w:t>
      </w:r>
      <w:r>
        <w:rPr>
          <w:rFonts w:ascii="Times New Roman;Times;serif" w:hAnsi="Times New Roman;Times;serif"/>
          <w:sz w:val="24"/>
        </w:rPr>
        <w:t>request</w:t>
      </w:r>
      <w:r>
        <w:rPr>
          <w:rFonts w:ascii="Times New Roman;Times;serif" w:hAnsi="Times New Roman;Times;serif"/>
          <w:spacing w:val="-1"/>
          <w:sz w:val="22"/>
        </w:rPr>
        <w:t xml:space="preserve"> </w:t>
      </w:r>
      <w:r>
        <w:rPr>
          <w:rFonts w:ascii="Times New Roman;Times;serif" w:hAnsi="Times New Roman;Times;serif"/>
          <w:sz w:val="24"/>
        </w:rPr>
        <w:t>for</w:t>
      </w:r>
      <w:r>
        <w:rPr>
          <w:rFonts w:ascii="Times New Roman;Times;serif" w:hAnsi="Times New Roman;Times;serif"/>
          <w:spacing w:val="-4"/>
          <w:sz w:val="22"/>
        </w:rPr>
        <w:t xml:space="preserve"> </w:t>
      </w:r>
      <w:r>
        <w:rPr>
          <w:rFonts w:ascii="Times New Roman;Times;serif" w:hAnsi="Times New Roman;Times;serif"/>
          <w:sz w:val="24"/>
        </w:rPr>
        <w:t>use in</w:t>
      </w:r>
      <w:r>
        <w:rPr>
          <w:rFonts w:ascii="Times New Roman;Times;serif" w:hAnsi="Times New Roman;Times;serif"/>
          <w:spacing w:val="-7"/>
          <w:sz w:val="22"/>
        </w:rPr>
        <w:t xml:space="preserve"> </w:t>
      </w:r>
      <w:r>
        <w:rPr>
          <w:rFonts w:ascii="Times New Roman;Times;serif" w:hAnsi="Times New Roman;Times;serif"/>
          <w:sz w:val="24"/>
        </w:rPr>
        <w:t>applying</w:t>
      </w:r>
      <w:r>
        <w:rPr>
          <w:rFonts w:ascii="Times New Roman;Times;serif" w:hAnsi="Times New Roman;Times;serif"/>
          <w:spacing w:val="-8"/>
          <w:sz w:val="22"/>
        </w:rPr>
        <w:t xml:space="preserve"> </w:t>
      </w:r>
      <w:r>
        <w:rPr>
          <w:rFonts w:ascii="Times New Roman;Times;serif" w:hAnsi="Times New Roman;Times;serif"/>
          <w:sz w:val="24"/>
        </w:rPr>
        <w:t>for,</w:t>
      </w:r>
      <w:r>
        <w:rPr>
          <w:rFonts w:ascii="Times New Roman;Times;serif" w:hAnsi="Times New Roman;Times;serif"/>
          <w:spacing w:val="-4"/>
          <w:sz w:val="22"/>
        </w:rPr>
        <w:t xml:space="preserve"> </w:t>
      </w:r>
      <w:r>
        <w:rPr>
          <w:rFonts w:ascii="Times New Roman;Times;serif" w:hAnsi="Times New Roman;Times;serif"/>
          <w:sz w:val="24"/>
        </w:rPr>
        <w:t>assigning,</w:t>
      </w:r>
      <w:r>
        <w:rPr>
          <w:rFonts w:ascii="Times New Roman;Times;serif" w:hAnsi="Times New Roman;Times;serif"/>
          <w:spacing w:val="-5"/>
          <w:sz w:val="22"/>
        </w:rPr>
        <w:t xml:space="preserve"> </w:t>
      </w:r>
      <w:r>
        <w:rPr>
          <w:rFonts w:ascii="Times New Roman;Times;serif" w:hAnsi="Times New Roman;Times;serif"/>
          <w:sz w:val="24"/>
        </w:rPr>
        <w:t>obtaining,</w:t>
      </w:r>
      <w:r>
        <w:rPr>
          <w:rFonts w:ascii="Times New Roman;Times;serif" w:hAnsi="Times New Roman;Times;serif"/>
          <w:spacing w:val="-5"/>
          <w:sz w:val="22"/>
        </w:rPr>
        <w:t xml:space="preserve"> </w:t>
      </w:r>
      <w:r>
        <w:rPr>
          <w:rFonts w:ascii="Times New Roman;Times;serif" w:hAnsi="Times New Roman;Times;serif"/>
          <w:sz w:val="24"/>
        </w:rPr>
        <w:t>perfecting,</w:t>
      </w:r>
      <w:r>
        <w:rPr>
          <w:rFonts w:ascii="Times New Roman;Times;serif" w:hAnsi="Times New Roman;Times;serif"/>
          <w:spacing w:val="-6"/>
          <w:sz w:val="22"/>
        </w:rPr>
        <w:t xml:space="preserve"> </w:t>
      </w:r>
      <w:r>
        <w:rPr>
          <w:rFonts w:ascii="Times New Roman;Times;serif" w:hAnsi="Times New Roman;Times;serif"/>
          <w:sz w:val="24"/>
        </w:rPr>
        <w:t>evidencing,</w:t>
      </w:r>
      <w:r>
        <w:rPr>
          <w:rFonts w:ascii="Times New Roman;Times;serif" w:hAnsi="Times New Roman;Times;serif"/>
          <w:spacing w:val="-5"/>
          <w:sz w:val="22"/>
        </w:rPr>
        <w:t xml:space="preserve"> </w:t>
      </w:r>
      <w:r>
        <w:rPr>
          <w:rFonts w:ascii="Times New Roman;Times;serif" w:hAnsi="Times New Roman;Times;serif"/>
          <w:sz w:val="24"/>
        </w:rPr>
        <w:t>sustaining,</w:t>
      </w:r>
      <w:r>
        <w:rPr>
          <w:rFonts w:ascii="Times New Roman;Times;serif" w:hAnsi="Times New Roman;Times;serif"/>
          <w:spacing w:val="-5"/>
          <w:sz w:val="22"/>
        </w:rPr>
        <w:t xml:space="preserve"> </w:t>
      </w:r>
      <w:r>
        <w:rPr>
          <w:rFonts w:ascii="Times New Roman;Times;serif" w:hAnsi="Times New Roman;Times;serif"/>
          <w:sz w:val="24"/>
        </w:rPr>
        <w:t>and</w:t>
      </w:r>
      <w:r>
        <w:rPr>
          <w:rFonts w:ascii="Times New Roman;Times;serif" w:hAnsi="Times New Roman;Times;serif"/>
          <w:spacing w:val="-8"/>
          <w:sz w:val="22"/>
        </w:rPr>
        <w:t xml:space="preserve"> </w:t>
      </w:r>
      <w:r>
        <w:rPr>
          <w:rFonts w:ascii="Times New Roman;Times;serif" w:hAnsi="Times New Roman;Times;serif"/>
          <w:sz w:val="24"/>
        </w:rPr>
        <w:t>enforcing</w:t>
      </w:r>
      <w:r>
        <w:rPr>
          <w:rFonts w:ascii="Times New Roman;Times;serif" w:hAnsi="Times New Roman;Times;serif"/>
          <w:spacing w:val="-7"/>
          <w:sz w:val="22"/>
        </w:rPr>
        <w:t xml:space="preserve"> </w:t>
      </w:r>
      <w:r>
        <w:rPr>
          <w:rFonts w:ascii="Times New Roman;Times;serif" w:hAnsi="Times New Roman;Times;serif"/>
          <w:sz w:val="24"/>
        </w:rPr>
        <w:t>such</w:t>
      </w:r>
      <w:r>
        <w:rPr>
          <w:rFonts w:ascii="Times New Roman;Times;serif" w:hAnsi="Times New Roman;Times;serif"/>
          <w:spacing w:val="-4"/>
          <w:sz w:val="22"/>
        </w:rPr>
        <w:t xml:space="preserve"> </w:t>
      </w:r>
      <w:r>
        <w:rPr>
          <w:rFonts w:ascii="Times New Roman;Times;serif" w:hAnsi="Times New Roman;Times;serif"/>
          <w:sz w:val="24"/>
        </w:rPr>
        <w:t>Work Product.</w:t>
      </w:r>
      <w:r>
        <w:rPr>
          <w:rFonts w:ascii="Times New Roman;Times;serif" w:hAnsi="Times New Roman;Times;serif"/>
          <w:spacing w:val="40"/>
          <w:sz w:val="22"/>
        </w:rPr>
        <w:t xml:space="preserve"> </w:t>
      </w:r>
      <w:r>
        <w:rPr>
          <w:rFonts w:ascii="Times New Roman;Times;serif" w:hAnsi="Times New Roman;Times;serif"/>
          <w:sz w:val="24"/>
        </w:rPr>
        <w:t>As used in this Agreement, the term “</w:t>
      </w:r>
      <w:r>
        <w:rPr>
          <w:rFonts w:ascii="Times New Roman;Times;serif" w:hAnsi="Times New Roman;Times;serif"/>
          <w:b/>
          <w:sz w:val="24"/>
        </w:rPr>
        <w:t>Work Product</w:t>
      </w:r>
      <w:r>
        <w:rPr>
          <w:rFonts w:ascii="Times New Roman;Times;serif" w:hAnsi="Times New Roman;Times;serif"/>
          <w:sz w:val="22"/>
        </w:rPr>
        <w:t xml:space="preserve">” </w:t>
      </w:r>
      <w:r>
        <w:rPr>
          <w:rFonts w:ascii="Times New Roman;Times;serif" w:hAnsi="Times New Roman;Times;serif"/>
          <w:sz w:val="24"/>
        </w:rPr>
        <w:t>means any trade secrets, ideas, inventions (whether patentable or unpatentable), processes, formulations, software source and object codes, data, programs, other works of authorship, know-how, improvements, discoveries, developments, designs and techniques, trademarks, or other copyrightable or patentable works.</w:t>
      </w:r>
    </w:p>
    <w:p>
      <w:pPr>
        <w:pStyle w:val="TextBody"/>
        <w:bidi w:val="0"/>
        <w:spacing w:before="240" w:after="0"/>
        <w:ind w:left="0" w:right="349" w:hanging="0"/>
        <w:jc w:val="both"/>
        <w:rPr>
          <w:rFonts w:ascii="Times New Roman;Times;serif" w:hAnsi="Times New Roman;Times;serif"/>
          <w:sz w:val="22"/>
        </w:rPr>
      </w:pPr>
      <w:r>
        <w:rPr>
          <w:rFonts w:ascii="Times New Roman;Times;serif" w:hAnsi="Times New Roman;Times;serif"/>
          <w:b/>
          <w:sz w:val="24"/>
        </w:rPr>
        <w:t>6.</w:t>
      </w:r>
      <w:bookmarkStart w:id="1035" w:name="6._No_Conflict_of_Interest.__Consultant_"/>
      <w:bookmarkEnd w:id="1035"/>
      <w:r>
        <w:rPr>
          <w:rFonts w:ascii="Times New Roman;Times;serif" w:hAnsi="Times New Roman;Times;serif"/>
          <w:b/>
          <w:smallCaps/>
          <w:sz w:val="24"/>
        </w:rPr>
        <w:t>No Conflict of Interest.</w:t>
      </w:r>
      <w:r>
        <w:rPr>
          <w:rFonts w:ascii="Times New Roman;Times;serif" w:hAnsi="Times New Roman;Times;serif"/>
          <w:smallCaps/>
          <w:spacing w:val="40"/>
          <w:sz w:val="22"/>
        </w:rPr>
        <w:t xml:space="preserve"> </w:t>
      </w:r>
      <w:r>
        <w:rPr>
          <w:rFonts w:ascii="Times New Roman;Times;serif" w:hAnsi="Times New Roman;Times;serif"/>
          <w:sz w:val="24"/>
        </w:rPr>
        <w:t>Consultant agrees during the term of this Agreement not to accept work or enter into a contract or accept an obligation inconsistent or incompatible with Consultant’s</w:t>
      </w:r>
      <w:r>
        <w:rPr>
          <w:rFonts w:ascii="Times New Roman;Times;serif" w:hAnsi="Times New Roman;Times;serif"/>
          <w:spacing w:val="-8"/>
          <w:sz w:val="22"/>
        </w:rPr>
        <w:t xml:space="preserve"> </w:t>
      </w:r>
      <w:r>
        <w:rPr>
          <w:rFonts w:ascii="Times New Roman;Times;serif" w:hAnsi="Times New Roman;Times;serif"/>
          <w:sz w:val="24"/>
        </w:rPr>
        <w:t>obligations</w:t>
      </w:r>
      <w:r>
        <w:rPr>
          <w:rFonts w:ascii="Times New Roman;Times;serif" w:hAnsi="Times New Roman;Times;serif"/>
          <w:spacing w:val="-8"/>
          <w:sz w:val="22"/>
        </w:rPr>
        <w:t xml:space="preserve"> </w:t>
      </w:r>
      <w:r>
        <w:rPr>
          <w:rFonts w:ascii="Times New Roman;Times;serif" w:hAnsi="Times New Roman;Times;serif"/>
          <w:sz w:val="24"/>
        </w:rPr>
        <w:t>under</w:t>
      </w:r>
      <w:r>
        <w:rPr>
          <w:rFonts w:ascii="Times New Roman;Times;serif" w:hAnsi="Times New Roman;Times;serif"/>
          <w:spacing w:val="-4"/>
          <w:sz w:val="22"/>
        </w:rPr>
        <w:t xml:space="preserve"> </w:t>
      </w:r>
      <w:r>
        <w:rPr>
          <w:rFonts w:ascii="Times New Roman;Times;serif" w:hAnsi="Times New Roman;Times;serif"/>
          <w:sz w:val="24"/>
        </w:rPr>
        <w:t>this</w:t>
      </w:r>
      <w:r>
        <w:rPr>
          <w:rFonts w:ascii="Times New Roman;Times;serif" w:hAnsi="Times New Roman;Times;serif"/>
          <w:spacing w:val="-8"/>
          <w:sz w:val="22"/>
        </w:rPr>
        <w:t xml:space="preserve"> </w:t>
      </w:r>
      <w:r>
        <w:rPr>
          <w:rFonts w:ascii="Times New Roman;Times;serif" w:hAnsi="Times New Roman;Times;serif"/>
          <w:sz w:val="24"/>
        </w:rPr>
        <w:t>Agreement</w:t>
      </w:r>
      <w:r>
        <w:rPr>
          <w:rFonts w:ascii="Times New Roman;Times;serif" w:hAnsi="Times New Roman;Times;serif"/>
          <w:spacing w:val="-6"/>
          <w:sz w:val="22"/>
        </w:rPr>
        <w:t xml:space="preserve"> </w:t>
      </w:r>
      <w:r>
        <w:rPr>
          <w:rFonts w:ascii="Times New Roman;Times;serif" w:hAnsi="Times New Roman;Times;serif"/>
          <w:sz w:val="24"/>
        </w:rPr>
        <w:t>or</w:t>
      </w:r>
      <w:r>
        <w:rPr>
          <w:rFonts w:ascii="Times New Roman;Times;serif" w:hAnsi="Times New Roman;Times;serif"/>
          <w:spacing w:val="-4"/>
          <w:sz w:val="22"/>
        </w:rPr>
        <w:t xml:space="preserve"> </w:t>
      </w:r>
      <w:r>
        <w:rPr>
          <w:rFonts w:ascii="Times New Roman;Times;serif" w:hAnsi="Times New Roman;Times;serif"/>
          <w:sz w:val="24"/>
        </w:rPr>
        <w:t>the</w:t>
      </w:r>
      <w:r>
        <w:rPr>
          <w:rFonts w:ascii="Times New Roman;Times;serif" w:hAnsi="Times New Roman;Times;serif"/>
          <w:spacing w:val="-6"/>
          <w:sz w:val="22"/>
        </w:rPr>
        <w:t xml:space="preserve"> </w:t>
      </w:r>
      <w:r>
        <w:rPr>
          <w:rFonts w:ascii="Times New Roman;Times;serif" w:hAnsi="Times New Roman;Times;serif"/>
          <w:sz w:val="24"/>
        </w:rPr>
        <w:t>scope</w:t>
      </w:r>
      <w:r>
        <w:rPr>
          <w:rFonts w:ascii="Times New Roman;Times;serif" w:hAnsi="Times New Roman;Times;serif"/>
          <w:spacing w:val="-7"/>
          <w:sz w:val="22"/>
        </w:rPr>
        <w:t xml:space="preserve"> </w:t>
      </w:r>
      <w:r>
        <w:rPr>
          <w:rFonts w:ascii="Times New Roman;Times;serif" w:hAnsi="Times New Roman;Times;serif"/>
          <w:sz w:val="24"/>
        </w:rPr>
        <w:t>of</w:t>
      </w:r>
      <w:r>
        <w:rPr>
          <w:rFonts w:ascii="Times New Roman;Times;serif" w:hAnsi="Times New Roman;Times;serif"/>
          <w:spacing w:val="-4"/>
          <w:sz w:val="22"/>
        </w:rPr>
        <w:t xml:space="preserve"> </w:t>
      </w:r>
      <w:r>
        <w:rPr>
          <w:rFonts w:ascii="Times New Roman;Times;serif" w:hAnsi="Times New Roman;Times;serif"/>
          <w:sz w:val="24"/>
        </w:rPr>
        <w:t>services</w:t>
      </w:r>
      <w:r>
        <w:rPr>
          <w:rFonts w:ascii="Times New Roman;Times;serif" w:hAnsi="Times New Roman;Times;serif"/>
          <w:spacing w:val="-8"/>
          <w:sz w:val="22"/>
        </w:rPr>
        <w:t xml:space="preserve"> </w:t>
      </w:r>
      <w:r>
        <w:rPr>
          <w:rFonts w:ascii="Times New Roman;Times;serif" w:hAnsi="Times New Roman;Times;serif"/>
          <w:sz w:val="24"/>
        </w:rPr>
        <w:t>rendered</w:t>
      </w:r>
      <w:r>
        <w:rPr>
          <w:rFonts w:ascii="Times New Roman;Times;serif" w:hAnsi="Times New Roman;Times;serif"/>
          <w:spacing w:val="-6"/>
          <w:sz w:val="22"/>
        </w:rPr>
        <w:t xml:space="preserve"> </w:t>
      </w:r>
      <w:r>
        <w:rPr>
          <w:rFonts w:ascii="Times New Roman;Times;serif" w:hAnsi="Times New Roman;Times;serif"/>
          <w:sz w:val="24"/>
        </w:rPr>
        <w:t>for</w:t>
      </w:r>
      <w:r>
        <w:rPr>
          <w:rFonts w:ascii="Times New Roman;Times;serif" w:hAnsi="Times New Roman;Times;serif"/>
          <w:spacing w:val="-4"/>
          <w:sz w:val="22"/>
        </w:rPr>
        <w:t xml:space="preserve"> </w:t>
      </w:r>
      <w:r>
        <w:rPr>
          <w:rFonts w:ascii="Times New Roman;Times;serif" w:hAnsi="Times New Roman;Times;serif"/>
          <w:sz w:val="24"/>
        </w:rPr>
        <w:t>Company.</w:t>
      </w:r>
      <w:r>
        <w:rPr>
          <w:rFonts w:ascii="Times New Roman;Times;serif" w:hAnsi="Times New Roman;Times;serif"/>
          <w:spacing w:val="40"/>
          <w:sz w:val="22"/>
        </w:rPr>
        <w:t xml:space="preserve"> </w:t>
      </w:r>
      <w:r>
        <w:rPr>
          <w:rFonts w:ascii="Times New Roman;Times;serif" w:hAnsi="Times New Roman;Times;serif"/>
          <w:sz w:val="24"/>
        </w:rPr>
        <w:t>In addition, Consultant agrees that, during the term</w:t>
      </w:r>
      <w:r>
        <w:rPr>
          <w:rFonts w:ascii="Times New Roman;Times;serif" w:hAnsi="Times New Roman;Times;serif"/>
          <w:spacing w:val="-1"/>
          <w:sz w:val="22"/>
        </w:rPr>
        <w:t xml:space="preserve"> </w:t>
      </w:r>
      <w:r>
        <w:rPr>
          <w:rFonts w:ascii="Times New Roman;Times;serif" w:hAnsi="Times New Roman;Times;serif"/>
          <w:sz w:val="24"/>
        </w:rPr>
        <w:t>of this Agreement, Consultant will not perform, or agree to perform, any services for any third party that engages, or plans to engage, in any business or activity competitive with that of Company.</w:t>
      </w:r>
      <w:r>
        <w:rPr>
          <w:rFonts w:ascii="Times New Roman;Times;serif" w:hAnsi="Times New Roman;Times;serif"/>
          <w:spacing w:val="40"/>
          <w:sz w:val="22"/>
        </w:rPr>
        <w:t xml:space="preserve"> </w:t>
      </w:r>
      <w:r>
        <w:rPr>
          <w:rFonts w:ascii="Times New Roman;Times;serif" w:hAnsi="Times New Roman;Times;serif"/>
          <w:sz w:val="24"/>
        </w:rPr>
        <w:t>Consultant warrants that to the best of Consultant’s knowledge, there is no other existing contract or duty on Consultant’s part inconsistent with this Agreement.</w:t>
      </w:r>
    </w:p>
    <w:p>
      <w:pPr>
        <w:pStyle w:val="TextBody"/>
        <w:bidi w:val="0"/>
        <w:spacing w:before="242" w:after="0"/>
        <w:ind w:left="0" w:right="351" w:hanging="0"/>
        <w:jc w:val="both"/>
        <w:rPr>
          <w:rFonts w:ascii="Times New Roman;Times;serif" w:hAnsi="Times New Roman;Times;serif"/>
          <w:sz w:val="22"/>
        </w:rPr>
      </w:pPr>
      <w:r>
        <w:rPr>
          <w:rFonts w:ascii="Times New Roman;Times;serif" w:hAnsi="Times New Roman;Times;serif"/>
          <w:b/>
          <w:sz w:val="24"/>
        </w:rPr>
        <w:t>7.</w:t>
      </w:r>
      <w:bookmarkStart w:id="1036" w:name="7._Term_and_Termination.__The_term_of_th"/>
      <w:bookmarkEnd w:id="1036"/>
      <w:r>
        <w:rPr>
          <w:rFonts w:ascii="Times New Roman;Times;serif" w:hAnsi="Times New Roman;Times;serif"/>
          <w:b/>
          <w:smallCaps/>
          <w:sz w:val="24"/>
        </w:rPr>
        <w:t>Term</w:t>
      </w:r>
      <w:r>
        <w:rPr>
          <w:rFonts w:ascii="Times New Roman;Times;serif" w:hAnsi="Times New Roman;Times;serif"/>
          <w:smallCaps/>
          <w:spacing w:val="-4"/>
          <w:sz w:val="22"/>
        </w:rPr>
        <w:t xml:space="preserve"> </w:t>
      </w:r>
      <w:r>
        <w:rPr>
          <w:rFonts w:ascii="Times New Roman;Times;serif" w:hAnsi="Times New Roman;Times;serif"/>
          <w:b/>
          <w:smallCaps/>
          <w:sz w:val="24"/>
        </w:rPr>
        <w:t>and Termination.</w:t>
      </w:r>
      <w:r>
        <w:rPr>
          <w:rFonts w:ascii="Times New Roman;Times;serif" w:hAnsi="Times New Roman;Times;serif"/>
          <w:smallCaps/>
          <w:spacing w:val="36"/>
          <w:sz w:val="22"/>
        </w:rPr>
        <w:t xml:space="preserve"> </w:t>
      </w:r>
      <w:r>
        <w:rPr>
          <w:rFonts w:ascii="Times New Roman;Times;serif" w:hAnsi="Times New Roman;Times;serif"/>
          <w:sz w:val="24"/>
        </w:rPr>
        <w:t>The</w:t>
      </w:r>
      <w:r>
        <w:rPr>
          <w:rFonts w:ascii="Times New Roman;Times;serif" w:hAnsi="Times New Roman;Times;serif"/>
          <w:spacing w:val="-4"/>
          <w:sz w:val="22"/>
        </w:rPr>
        <w:t xml:space="preserve"> </w:t>
      </w:r>
      <w:r>
        <w:rPr>
          <w:rFonts w:ascii="Times New Roman;Times;serif" w:hAnsi="Times New Roman;Times;serif"/>
          <w:sz w:val="24"/>
        </w:rPr>
        <w:t>term</w:t>
      </w:r>
      <w:r>
        <w:rPr>
          <w:rFonts w:ascii="Times New Roman;Times;serif" w:hAnsi="Times New Roman;Times;serif"/>
          <w:spacing w:val="-1"/>
          <w:sz w:val="22"/>
        </w:rPr>
        <w:t xml:space="preserve"> </w:t>
      </w:r>
      <w:r>
        <w:rPr>
          <w:rFonts w:ascii="Times New Roman;Times;serif" w:hAnsi="Times New Roman;Times;serif"/>
          <w:sz w:val="24"/>
        </w:rPr>
        <w:t>of this Agreement will</w:t>
      </w:r>
      <w:r>
        <w:rPr>
          <w:rFonts w:ascii="Times New Roman;Times;serif" w:hAnsi="Times New Roman;Times;serif"/>
          <w:spacing w:val="-1"/>
          <w:sz w:val="22"/>
        </w:rPr>
        <w:t xml:space="preserve"> </w:t>
      </w:r>
      <w:r>
        <w:rPr>
          <w:rFonts w:ascii="Times New Roman;Times;serif" w:hAnsi="Times New Roman;Times;serif"/>
          <w:sz w:val="24"/>
        </w:rPr>
        <w:t>begin as of the</w:t>
      </w:r>
      <w:r>
        <w:rPr>
          <w:rFonts w:ascii="Times New Roman;Times;serif" w:hAnsi="Times New Roman;Times;serif"/>
          <w:spacing w:val="-2"/>
          <w:sz w:val="22"/>
        </w:rPr>
        <w:t xml:space="preserve"> </w:t>
      </w:r>
      <w:r>
        <w:rPr>
          <w:rFonts w:ascii="Times New Roman;Times;serif" w:hAnsi="Times New Roman;Times;serif"/>
          <w:sz w:val="24"/>
        </w:rPr>
        <w:t>Effective Date and</w:t>
      </w:r>
      <w:r>
        <w:rPr>
          <w:rFonts w:ascii="Times New Roman;Times;serif" w:hAnsi="Times New Roman;Times;serif"/>
          <w:spacing w:val="-11"/>
          <w:sz w:val="22"/>
        </w:rPr>
        <w:t xml:space="preserve"> </w:t>
      </w:r>
      <w:r>
        <w:rPr>
          <w:rFonts w:ascii="Times New Roman;Times;serif" w:hAnsi="Times New Roman;Times;serif"/>
          <w:sz w:val="24"/>
        </w:rPr>
        <w:t>will</w:t>
      </w:r>
      <w:r>
        <w:rPr>
          <w:rFonts w:ascii="Times New Roman;Times;serif" w:hAnsi="Times New Roman;Times;serif"/>
          <w:spacing w:val="-10"/>
          <w:sz w:val="22"/>
        </w:rPr>
        <w:t xml:space="preserve"> </w:t>
      </w:r>
      <w:r>
        <w:rPr>
          <w:rFonts w:ascii="Times New Roman;Times;serif" w:hAnsi="Times New Roman;Times;serif"/>
          <w:sz w:val="24"/>
        </w:rPr>
        <w:t>automatically</w:t>
      </w:r>
      <w:r>
        <w:rPr>
          <w:rFonts w:ascii="Times New Roman;Times;serif" w:hAnsi="Times New Roman;Times;serif"/>
          <w:spacing w:val="-11"/>
          <w:sz w:val="22"/>
        </w:rPr>
        <w:t xml:space="preserve"> </w:t>
      </w:r>
      <w:r>
        <w:rPr>
          <w:rFonts w:ascii="Times New Roman;Times;serif" w:hAnsi="Times New Roman;Times;serif"/>
          <w:sz w:val="24"/>
        </w:rPr>
        <w:t>terminate</w:t>
      </w:r>
      <w:r>
        <w:rPr>
          <w:rFonts w:ascii="Times New Roman;Times;serif" w:hAnsi="Times New Roman;Times;serif"/>
          <w:spacing w:val="-15"/>
          <w:sz w:val="22"/>
        </w:rPr>
        <w:t xml:space="preserve"> </w:t>
      </w:r>
      <w:r>
        <w:rPr>
          <w:rFonts w:ascii="Times New Roman;Times;serif" w:hAnsi="Times New Roman;Times;serif"/>
          <w:sz w:val="24"/>
        </w:rPr>
        <w:t>on</w:t>
      </w:r>
      <w:r>
        <w:rPr>
          <w:rFonts w:ascii="Times New Roman;Times;serif" w:hAnsi="Times New Roman;Times;serif"/>
          <w:spacing w:val="-7"/>
          <w:sz w:val="22"/>
        </w:rPr>
        <w:t xml:space="preserve"> </w:t>
      </w:r>
      <w:r>
        <w:rPr>
          <w:rFonts w:ascii="Times New Roman;Times;serif" w:hAnsi="Times New Roman;Times;serif"/>
          <w:sz w:val="24"/>
        </w:rPr>
        <w:t>the</w:t>
      </w:r>
      <w:r>
        <w:rPr>
          <w:rFonts w:ascii="Times New Roman;Times;serif" w:hAnsi="Times New Roman;Times;serif"/>
          <w:spacing w:val="-11"/>
          <w:sz w:val="22"/>
        </w:rPr>
        <w:t xml:space="preserve"> </w:t>
      </w:r>
      <w:r>
        <w:rPr>
          <w:rFonts w:ascii="Times New Roman;Times;serif" w:hAnsi="Times New Roman;Times;serif"/>
          <w:sz w:val="24"/>
        </w:rPr>
        <w:t>second</w:t>
      </w:r>
      <w:r>
        <w:rPr>
          <w:rFonts w:ascii="Times New Roman;Times;serif" w:hAnsi="Times New Roman;Times;serif"/>
          <w:spacing w:val="-11"/>
          <w:sz w:val="22"/>
        </w:rPr>
        <w:t xml:space="preserve"> </w:t>
      </w:r>
      <w:r>
        <w:rPr>
          <w:rFonts w:ascii="Times New Roman;Times;serif" w:hAnsi="Times New Roman;Times;serif"/>
          <w:sz w:val="24"/>
        </w:rPr>
        <w:t>anniversary</w:t>
      </w:r>
      <w:r>
        <w:rPr>
          <w:rFonts w:ascii="Times New Roman;Times;serif" w:hAnsi="Times New Roman;Times;serif"/>
          <w:spacing w:val="-11"/>
          <w:sz w:val="22"/>
        </w:rPr>
        <w:t xml:space="preserve"> </w:t>
      </w:r>
      <w:r>
        <w:rPr>
          <w:rFonts w:ascii="Times New Roman;Times;serif" w:hAnsi="Times New Roman;Times;serif"/>
          <w:sz w:val="24"/>
        </w:rPr>
        <w:t>of</w:t>
      </w:r>
      <w:r>
        <w:rPr>
          <w:rFonts w:ascii="Times New Roman;Times;serif" w:hAnsi="Times New Roman;Times;serif"/>
          <w:spacing w:val="-9"/>
          <w:sz w:val="22"/>
        </w:rPr>
        <w:t xml:space="preserve"> </w:t>
      </w:r>
      <w:r>
        <w:rPr>
          <w:rFonts w:ascii="Times New Roman;Times;serif" w:hAnsi="Times New Roman;Times;serif"/>
          <w:sz w:val="24"/>
        </w:rPr>
        <w:t>the</w:t>
      </w:r>
      <w:r>
        <w:rPr>
          <w:rFonts w:ascii="Times New Roman;Times;serif" w:hAnsi="Times New Roman;Times;serif"/>
          <w:spacing w:val="-14"/>
          <w:sz w:val="22"/>
        </w:rPr>
        <w:t xml:space="preserve"> </w:t>
      </w:r>
      <w:r>
        <w:rPr>
          <w:rFonts w:ascii="Times New Roman;Times;serif" w:hAnsi="Times New Roman;Times;serif"/>
          <w:sz w:val="24"/>
        </w:rPr>
        <w:t>Effective</w:t>
      </w:r>
      <w:r>
        <w:rPr>
          <w:rFonts w:ascii="Times New Roman;Times;serif" w:hAnsi="Times New Roman;Times;serif"/>
          <w:spacing w:val="-12"/>
          <w:sz w:val="22"/>
        </w:rPr>
        <w:t xml:space="preserve"> </w:t>
      </w:r>
      <w:r>
        <w:rPr>
          <w:rFonts w:ascii="Times New Roman;Times;serif" w:hAnsi="Times New Roman;Times;serif"/>
          <w:sz w:val="24"/>
        </w:rPr>
        <w:t>Date,</w:t>
      </w:r>
      <w:r>
        <w:rPr>
          <w:rFonts w:ascii="Times New Roman;Times;serif" w:hAnsi="Times New Roman;Times;serif"/>
          <w:spacing w:val="-13"/>
          <w:sz w:val="22"/>
        </w:rPr>
        <w:t xml:space="preserve"> </w:t>
      </w:r>
      <w:r>
        <w:rPr>
          <w:rFonts w:ascii="Times New Roman;Times;serif" w:hAnsi="Times New Roman;Times;serif"/>
          <w:sz w:val="24"/>
        </w:rPr>
        <w:t>provided</w:t>
      </w:r>
      <w:r>
        <w:rPr>
          <w:rFonts w:ascii="Times New Roman;Times;serif" w:hAnsi="Times New Roman;Times;serif"/>
          <w:spacing w:val="-15"/>
          <w:sz w:val="22"/>
        </w:rPr>
        <w:t xml:space="preserve"> </w:t>
      </w:r>
      <w:r>
        <w:rPr>
          <w:rFonts w:ascii="Times New Roman;Times;serif" w:hAnsi="Times New Roman;Times;serif"/>
          <w:sz w:val="24"/>
        </w:rPr>
        <w:t>that</w:t>
      </w:r>
      <w:r>
        <w:rPr>
          <w:rFonts w:ascii="Times New Roman;Times;serif" w:hAnsi="Times New Roman;Times;serif"/>
          <w:spacing w:val="-10"/>
          <w:sz w:val="22"/>
        </w:rPr>
        <w:t xml:space="preserve"> </w:t>
      </w:r>
      <w:r>
        <w:rPr>
          <w:rFonts w:ascii="Times New Roman;Times;serif" w:hAnsi="Times New Roman;Times;serif"/>
          <w:sz w:val="24"/>
        </w:rPr>
        <w:t>the term of this Agreement will automatically renew for a one-year additional term expiring on the third anniversary</w:t>
      </w:r>
      <w:r>
        <w:rPr>
          <w:rFonts w:ascii="Times New Roman;Times;serif" w:hAnsi="Times New Roman;Times;serif"/>
          <w:spacing w:val="-1"/>
          <w:sz w:val="22"/>
        </w:rPr>
        <w:t xml:space="preserve"> </w:t>
      </w:r>
      <w:r>
        <w:rPr>
          <w:rFonts w:ascii="Times New Roman;Times;serif" w:hAnsi="Times New Roman;Times;serif"/>
          <w:sz w:val="24"/>
        </w:rPr>
        <w:t>of the</w:t>
      </w:r>
      <w:r>
        <w:rPr>
          <w:rFonts w:ascii="Times New Roman;Times;serif" w:hAnsi="Times New Roman;Times;serif"/>
          <w:spacing w:val="-2"/>
          <w:sz w:val="22"/>
        </w:rPr>
        <w:t xml:space="preserve"> </w:t>
      </w:r>
      <w:r>
        <w:rPr>
          <w:rFonts w:ascii="Times New Roman;Times;serif" w:hAnsi="Times New Roman;Times;serif"/>
          <w:sz w:val="24"/>
        </w:rPr>
        <w:t>Effective</w:t>
      </w:r>
      <w:r>
        <w:rPr>
          <w:rFonts w:ascii="Times New Roman;Times;serif" w:hAnsi="Times New Roman;Times;serif"/>
          <w:spacing w:val="-2"/>
          <w:sz w:val="22"/>
        </w:rPr>
        <w:t xml:space="preserve"> </w:t>
      </w:r>
      <w:r>
        <w:rPr>
          <w:rFonts w:ascii="Times New Roman;Times;serif" w:hAnsi="Times New Roman;Times;serif"/>
          <w:sz w:val="24"/>
        </w:rPr>
        <w:t>Date unless a notice of termination</w:t>
      </w:r>
      <w:r>
        <w:rPr>
          <w:rFonts w:ascii="Times New Roman;Times;serif" w:hAnsi="Times New Roman;Times;serif"/>
          <w:spacing w:val="-1"/>
          <w:sz w:val="22"/>
        </w:rPr>
        <w:t xml:space="preserve"> </w:t>
      </w:r>
      <w:r>
        <w:rPr>
          <w:rFonts w:ascii="Times New Roman;Times;serif" w:hAnsi="Times New Roman;Times;serif"/>
          <w:sz w:val="24"/>
        </w:rPr>
        <w:t>has been</w:t>
      </w:r>
      <w:r>
        <w:rPr>
          <w:rFonts w:ascii="Times New Roman;Times;serif" w:hAnsi="Times New Roman;Times;serif"/>
          <w:spacing w:val="-1"/>
          <w:sz w:val="22"/>
        </w:rPr>
        <w:t xml:space="preserve"> </w:t>
      </w:r>
      <w:r>
        <w:rPr>
          <w:rFonts w:ascii="Times New Roman;Times;serif" w:hAnsi="Times New Roman;Times;serif"/>
          <w:sz w:val="24"/>
        </w:rPr>
        <w:t>provided</w:t>
      </w:r>
      <w:r>
        <w:rPr>
          <w:rFonts w:ascii="Times New Roman;Times;serif" w:hAnsi="Times New Roman;Times;serif"/>
          <w:spacing w:val="-2"/>
          <w:sz w:val="22"/>
        </w:rPr>
        <w:t xml:space="preserve"> </w:t>
      </w:r>
      <w:r>
        <w:rPr>
          <w:rFonts w:ascii="Times New Roman;Times;serif" w:hAnsi="Times New Roman;Times;serif"/>
          <w:sz w:val="24"/>
        </w:rPr>
        <w:t>by</w:t>
      </w:r>
      <w:r>
        <w:rPr>
          <w:rFonts w:ascii="Times New Roman;Times;serif" w:hAnsi="Times New Roman;Times;serif"/>
          <w:spacing w:val="-1"/>
          <w:sz w:val="22"/>
        </w:rPr>
        <w:t xml:space="preserve"> </w:t>
      </w:r>
      <w:r>
        <w:rPr>
          <w:rFonts w:ascii="Times New Roman;Times;serif" w:hAnsi="Times New Roman;Times;serif"/>
          <w:sz w:val="24"/>
        </w:rPr>
        <w:t>either party.</w:t>
      </w:r>
      <w:r>
        <w:rPr>
          <w:rFonts w:ascii="Times New Roman;Times;serif" w:hAnsi="Times New Roman;Times;serif"/>
          <w:spacing w:val="40"/>
          <w:sz w:val="22"/>
        </w:rPr>
        <w:t xml:space="preserve"> </w:t>
      </w:r>
      <w:r>
        <w:rPr>
          <w:rFonts w:ascii="Times New Roman;Times;serif" w:hAnsi="Times New Roman;Times;serif"/>
          <w:sz w:val="24"/>
        </w:rPr>
        <w:t>Company may terminate this Agreement at any time upon 14</w:t>
      </w:r>
      <w:r>
        <w:rPr>
          <w:rFonts w:ascii="Times New Roman;Times;serif" w:hAnsi="Times New Roman;Times;serif"/>
          <w:spacing w:val="-1"/>
          <w:sz w:val="22"/>
        </w:rPr>
        <w:t xml:space="preserve"> </w:t>
      </w:r>
      <w:r>
        <w:rPr>
          <w:rFonts w:ascii="Times New Roman;Times;serif" w:hAnsi="Times New Roman;Times;serif"/>
          <w:sz w:val="24"/>
        </w:rPr>
        <w:t>calendar days’ prior written notice</w:t>
      </w:r>
      <w:r>
        <w:rPr>
          <w:rFonts w:ascii="Times New Roman;Times;serif" w:hAnsi="Times New Roman;Times;serif"/>
          <w:spacing w:val="-15"/>
          <w:sz w:val="22"/>
        </w:rPr>
        <w:t xml:space="preserve"> </w:t>
      </w:r>
      <w:r>
        <w:rPr>
          <w:rFonts w:ascii="Times New Roman;Times;serif" w:hAnsi="Times New Roman;Times;serif"/>
          <w:sz w:val="24"/>
        </w:rPr>
        <w:t>to</w:t>
      </w:r>
      <w:r>
        <w:rPr>
          <w:rFonts w:ascii="Times New Roman;Times;serif" w:hAnsi="Times New Roman;Times;serif"/>
          <w:spacing w:val="-15"/>
          <w:sz w:val="22"/>
        </w:rPr>
        <w:t xml:space="preserve"> </w:t>
      </w:r>
      <w:r>
        <w:rPr>
          <w:rFonts w:ascii="Times New Roman;Times;serif" w:hAnsi="Times New Roman;Times;serif"/>
          <w:sz w:val="24"/>
        </w:rPr>
        <w:t>Consultant.</w:t>
      </w:r>
      <w:r>
        <w:rPr>
          <w:rFonts w:ascii="Times New Roman;Times;serif" w:hAnsi="Times New Roman;Times;serif"/>
          <w:spacing w:val="22"/>
          <w:sz w:val="22"/>
        </w:rPr>
        <w:t xml:space="preserve"> </w:t>
      </w:r>
      <w:r>
        <w:rPr>
          <w:rFonts w:ascii="Times New Roman;Times;serif" w:hAnsi="Times New Roman;Times;serif"/>
          <w:sz w:val="24"/>
        </w:rPr>
        <w:t>Consultant</w:t>
      </w:r>
      <w:r>
        <w:rPr>
          <w:rFonts w:ascii="Times New Roman;Times;serif" w:hAnsi="Times New Roman;Times;serif"/>
          <w:spacing w:val="-15"/>
          <w:sz w:val="22"/>
        </w:rPr>
        <w:t xml:space="preserve"> </w:t>
      </w:r>
      <w:r>
        <w:rPr>
          <w:rFonts w:ascii="Times New Roman;Times;serif" w:hAnsi="Times New Roman;Times;serif"/>
          <w:sz w:val="24"/>
        </w:rPr>
        <w:t>may</w:t>
      </w:r>
      <w:r>
        <w:rPr>
          <w:rFonts w:ascii="Times New Roman;Times;serif" w:hAnsi="Times New Roman;Times;serif"/>
          <w:spacing w:val="-15"/>
          <w:sz w:val="22"/>
        </w:rPr>
        <w:t xml:space="preserve"> </w:t>
      </w:r>
      <w:r>
        <w:rPr>
          <w:rFonts w:ascii="Times New Roman;Times;serif" w:hAnsi="Times New Roman;Times;serif"/>
          <w:sz w:val="24"/>
        </w:rPr>
        <w:t>terminate</w:t>
      </w:r>
      <w:r>
        <w:rPr>
          <w:rFonts w:ascii="Times New Roman;Times;serif" w:hAnsi="Times New Roman;Times;serif"/>
          <w:spacing w:val="-15"/>
          <w:sz w:val="22"/>
        </w:rPr>
        <w:t xml:space="preserve"> </w:t>
      </w:r>
      <w:r>
        <w:rPr>
          <w:rFonts w:ascii="Times New Roman;Times;serif" w:hAnsi="Times New Roman;Times;serif"/>
          <w:sz w:val="24"/>
        </w:rPr>
        <w:t>this</w:t>
      </w:r>
      <w:r>
        <w:rPr>
          <w:rFonts w:ascii="Times New Roman;Times;serif" w:hAnsi="Times New Roman;Times;serif"/>
          <w:spacing w:val="-15"/>
          <w:sz w:val="22"/>
        </w:rPr>
        <w:t xml:space="preserve"> </w:t>
      </w:r>
      <w:r>
        <w:rPr>
          <w:rFonts w:ascii="Times New Roman;Times;serif" w:hAnsi="Times New Roman;Times;serif"/>
          <w:sz w:val="24"/>
        </w:rPr>
        <w:t>Agreement</w:t>
      </w:r>
      <w:r>
        <w:rPr>
          <w:rFonts w:ascii="Times New Roman;Times;serif" w:hAnsi="Times New Roman;Times;serif"/>
          <w:spacing w:val="-10"/>
          <w:sz w:val="22"/>
        </w:rPr>
        <w:t xml:space="preserve"> </w:t>
      </w:r>
      <w:r>
        <w:rPr>
          <w:rFonts w:ascii="Times New Roman;Times;serif" w:hAnsi="Times New Roman;Times;serif"/>
          <w:sz w:val="24"/>
        </w:rPr>
        <w:t>at</w:t>
      </w:r>
      <w:r>
        <w:rPr>
          <w:rFonts w:ascii="Times New Roman;Times;serif" w:hAnsi="Times New Roman;Times;serif"/>
          <w:spacing w:val="-15"/>
          <w:sz w:val="22"/>
        </w:rPr>
        <w:t xml:space="preserve"> </w:t>
      </w:r>
      <w:r>
        <w:rPr>
          <w:rFonts w:ascii="Times New Roman;Times;serif" w:hAnsi="Times New Roman;Times;serif"/>
          <w:sz w:val="24"/>
        </w:rPr>
        <w:t>any</w:t>
      </w:r>
      <w:r>
        <w:rPr>
          <w:rFonts w:ascii="Times New Roman;Times;serif" w:hAnsi="Times New Roman;Times;serif"/>
          <w:spacing w:val="-15"/>
          <w:sz w:val="22"/>
        </w:rPr>
        <w:t xml:space="preserve"> </w:t>
      </w:r>
      <w:r>
        <w:rPr>
          <w:rFonts w:ascii="Times New Roman;Times;serif" w:hAnsi="Times New Roman;Times;serif"/>
          <w:sz w:val="24"/>
        </w:rPr>
        <w:t>time</w:t>
      </w:r>
      <w:r>
        <w:rPr>
          <w:rFonts w:ascii="Times New Roman;Times;serif" w:hAnsi="Times New Roman;Times;serif"/>
          <w:spacing w:val="-15"/>
          <w:sz w:val="22"/>
        </w:rPr>
        <w:t xml:space="preserve"> </w:t>
      </w:r>
      <w:r>
        <w:rPr>
          <w:rFonts w:ascii="Times New Roman;Times;serif" w:hAnsi="Times New Roman;Times;serif"/>
          <w:sz w:val="24"/>
        </w:rPr>
        <w:t>upon</w:t>
      </w:r>
      <w:r>
        <w:rPr>
          <w:rFonts w:ascii="Times New Roman;Times;serif" w:hAnsi="Times New Roman;Times;serif"/>
          <w:spacing w:val="-14"/>
          <w:sz w:val="22"/>
        </w:rPr>
        <w:t xml:space="preserve"> </w:t>
      </w:r>
      <w:r>
        <w:rPr>
          <w:rFonts w:ascii="Times New Roman;Times;serif" w:hAnsi="Times New Roman;Times;serif"/>
          <w:sz w:val="24"/>
        </w:rPr>
        <w:t>14</w:t>
      </w:r>
      <w:r>
        <w:rPr>
          <w:rFonts w:ascii="Times New Roman;Times;serif" w:hAnsi="Times New Roman;Times;serif"/>
          <w:spacing w:val="-7"/>
          <w:sz w:val="22"/>
        </w:rPr>
        <w:t xml:space="preserve"> </w:t>
      </w:r>
      <w:r>
        <w:rPr>
          <w:rFonts w:ascii="Times New Roman;Times;serif" w:hAnsi="Times New Roman;Times;serif"/>
          <w:sz w:val="24"/>
        </w:rPr>
        <w:t>calendar</w:t>
      </w:r>
      <w:r>
        <w:rPr>
          <w:rFonts w:ascii="Times New Roman;Times;serif" w:hAnsi="Times New Roman;Times;serif"/>
          <w:spacing w:val="-13"/>
          <w:sz w:val="22"/>
        </w:rPr>
        <w:t xml:space="preserve"> </w:t>
      </w:r>
      <w:r>
        <w:rPr>
          <w:rFonts w:ascii="Times New Roman;Times;serif" w:hAnsi="Times New Roman;Times;serif"/>
          <w:sz w:val="24"/>
        </w:rPr>
        <w:t>days’ prior written notice to Company.</w:t>
      </w:r>
    </w:p>
    <w:p>
      <w:pPr>
        <w:pStyle w:val="TextBody"/>
        <w:bidi w:val="0"/>
        <w:spacing w:before="243" w:after="0"/>
        <w:ind w:left="0" w:right="349" w:hanging="0"/>
        <w:jc w:val="both"/>
        <w:rPr>
          <w:rFonts w:ascii="Times New Roman;Times;serif" w:hAnsi="Times New Roman;Times;serif"/>
          <w:sz w:val="22"/>
        </w:rPr>
      </w:pPr>
      <w:r>
        <w:rPr>
          <w:rFonts w:ascii="Times New Roman;Times;serif" w:hAnsi="Times New Roman;Times;serif"/>
          <w:b/>
          <w:sz w:val="24"/>
        </w:rPr>
        <w:t>8.</w:t>
      </w:r>
      <w:bookmarkStart w:id="1037" w:name="8._Return_of_Company_Property.__Unless_o"/>
      <w:bookmarkEnd w:id="1037"/>
      <w:r>
        <w:rPr>
          <w:rFonts w:ascii="Times New Roman;Times;serif" w:hAnsi="Times New Roman;Times;serif"/>
          <w:b/>
          <w:smallCaps/>
          <w:sz w:val="24"/>
        </w:rPr>
        <w:t>Return of Company Property.</w:t>
      </w:r>
      <w:r>
        <w:rPr>
          <w:rFonts w:ascii="Times New Roman;Times;serif" w:hAnsi="Times New Roman;Times;serif"/>
          <w:smallCaps/>
          <w:spacing w:val="40"/>
          <w:sz w:val="22"/>
        </w:rPr>
        <w:t xml:space="preserve"> </w:t>
      </w:r>
      <w:r>
        <w:rPr>
          <w:rFonts w:ascii="Times New Roman;Times;serif" w:hAnsi="Times New Roman;Times;serif"/>
          <w:sz w:val="24"/>
        </w:rPr>
        <w:t>Unless otherwise authorized by Company, upon termination of the Agreement or earlier as requested by Company, Consultant will deliver to Company</w:t>
      </w:r>
      <w:r>
        <w:rPr>
          <w:rFonts w:ascii="Times New Roman;Times;serif" w:hAnsi="Times New Roman;Times;serif"/>
          <w:spacing w:val="-8"/>
          <w:sz w:val="22"/>
        </w:rPr>
        <w:t xml:space="preserve"> </w:t>
      </w:r>
      <w:r>
        <w:rPr>
          <w:rFonts w:ascii="Times New Roman;Times;serif" w:hAnsi="Times New Roman;Times;serif"/>
          <w:sz w:val="24"/>
        </w:rPr>
        <w:t>any</w:t>
      </w:r>
      <w:r>
        <w:rPr>
          <w:rFonts w:ascii="Times New Roman;Times;serif" w:hAnsi="Times New Roman;Times;serif"/>
          <w:spacing w:val="-8"/>
          <w:sz w:val="22"/>
        </w:rPr>
        <w:t xml:space="preserve"> </w:t>
      </w:r>
      <w:r>
        <w:rPr>
          <w:rFonts w:ascii="Times New Roman;Times;serif" w:hAnsi="Times New Roman;Times;serif"/>
          <w:sz w:val="24"/>
        </w:rPr>
        <w:t>Company</w:t>
      </w:r>
      <w:r>
        <w:rPr>
          <w:rFonts w:ascii="Times New Roman;Times;serif" w:hAnsi="Times New Roman;Times;serif"/>
          <w:spacing w:val="-13"/>
          <w:sz w:val="22"/>
        </w:rPr>
        <w:t xml:space="preserve"> </w:t>
      </w:r>
      <w:r>
        <w:rPr>
          <w:rFonts w:ascii="Times New Roman;Times;serif" w:hAnsi="Times New Roman;Times;serif"/>
          <w:sz w:val="24"/>
        </w:rPr>
        <w:t>property</w:t>
      </w:r>
      <w:r>
        <w:rPr>
          <w:rFonts w:ascii="Times New Roman;Times;serif" w:hAnsi="Times New Roman;Times;serif"/>
          <w:spacing w:val="-12"/>
          <w:sz w:val="22"/>
        </w:rPr>
        <w:t xml:space="preserve"> </w:t>
      </w:r>
      <w:r>
        <w:rPr>
          <w:rFonts w:ascii="Times New Roman;Times;serif" w:hAnsi="Times New Roman;Times;serif"/>
          <w:sz w:val="24"/>
        </w:rPr>
        <w:t>in</w:t>
      </w:r>
      <w:r>
        <w:rPr>
          <w:rFonts w:ascii="Times New Roman;Times;serif" w:hAnsi="Times New Roman;Times;serif"/>
          <w:spacing w:val="-12"/>
          <w:sz w:val="22"/>
        </w:rPr>
        <w:t xml:space="preserve"> </w:t>
      </w:r>
      <w:r>
        <w:rPr>
          <w:rFonts w:ascii="Times New Roman;Times;serif" w:hAnsi="Times New Roman;Times;serif"/>
          <w:sz w:val="24"/>
        </w:rPr>
        <w:t>Consultant’s</w:t>
      </w:r>
      <w:r>
        <w:rPr>
          <w:rFonts w:ascii="Times New Roman;Times;serif" w:hAnsi="Times New Roman;Times;serif"/>
          <w:spacing w:val="-8"/>
          <w:sz w:val="22"/>
        </w:rPr>
        <w:t xml:space="preserve"> </w:t>
      </w:r>
      <w:r>
        <w:rPr>
          <w:rFonts w:ascii="Times New Roman;Times;serif" w:hAnsi="Times New Roman;Times;serif"/>
          <w:sz w:val="24"/>
        </w:rPr>
        <w:t>possession,</w:t>
      </w:r>
      <w:r>
        <w:rPr>
          <w:rFonts w:ascii="Times New Roman;Times;serif" w:hAnsi="Times New Roman;Times;serif"/>
          <w:spacing w:val="-4"/>
          <w:sz w:val="22"/>
        </w:rPr>
        <w:t xml:space="preserve"> </w:t>
      </w:r>
      <w:r>
        <w:rPr>
          <w:rFonts w:ascii="Times New Roman;Times;serif" w:hAnsi="Times New Roman;Times;serif"/>
          <w:sz w:val="24"/>
        </w:rPr>
        <w:t>and</w:t>
      </w:r>
      <w:r>
        <w:rPr>
          <w:rFonts w:ascii="Times New Roman;Times;serif" w:hAnsi="Times New Roman;Times;serif"/>
          <w:spacing w:val="-8"/>
          <w:sz w:val="22"/>
        </w:rPr>
        <w:t xml:space="preserve"> </w:t>
      </w:r>
      <w:r>
        <w:rPr>
          <w:rFonts w:ascii="Times New Roman;Times;serif" w:hAnsi="Times New Roman;Times;serif"/>
          <w:sz w:val="24"/>
        </w:rPr>
        <w:t>any</w:t>
      </w:r>
      <w:r>
        <w:rPr>
          <w:rFonts w:ascii="Times New Roman;Times;serif" w:hAnsi="Times New Roman;Times;serif"/>
          <w:spacing w:val="-13"/>
          <w:sz w:val="22"/>
        </w:rPr>
        <w:t xml:space="preserve"> </w:t>
      </w:r>
      <w:r>
        <w:rPr>
          <w:rFonts w:ascii="Times New Roman;Times;serif" w:hAnsi="Times New Roman;Times;serif"/>
          <w:sz w:val="24"/>
        </w:rPr>
        <w:t>other</w:t>
      </w:r>
      <w:r>
        <w:rPr>
          <w:rFonts w:ascii="Times New Roman;Times;serif" w:hAnsi="Times New Roman;Times;serif"/>
          <w:spacing w:val="-11"/>
          <w:sz w:val="22"/>
        </w:rPr>
        <w:t xml:space="preserve"> </w:t>
      </w:r>
      <w:r>
        <w:rPr>
          <w:rFonts w:ascii="Times New Roman;Times;serif" w:hAnsi="Times New Roman;Times;serif"/>
          <w:sz w:val="24"/>
        </w:rPr>
        <w:t>documents</w:t>
      </w:r>
      <w:r>
        <w:rPr>
          <w:rFonts w:ascii="Times New Roman;Times;serif" w:hAnsi="Times New Roman;Times;serif"/>
          <w:spacing w:val="-14"/>
          <w:sz w:val="22"/>
        </w:rPr>
        <w:t xml:space="preserve"> </w:t>
      </w:r>
      <w:r>
        <w:rPr>
          <w:rFonts w:ascii="Times New Roman;Times;serif" w:hAnsi="Times New Roman;Times;serif"/>
          <w:sz w:val="24"/>
        </w:rPr>
        <w:t>or</w:t>
      </w:r>
      <w:r>
        <w:rPr>
          <w:rFonts w:ascii="Times New Roman;Times;serif" w:hAnsi="Times New Roman;Times;serif"/>
          <w:spacing w:val="-10"/>
          <w:sz w:val="22"/>
        </w:rPr>
        <w:t xml:space="preserve"> </w:t>
      </w:r>
      <w:r>
        <w:rPr>
          <w:rFonts w:ascii="Times New Roman;Times;serif" w:hAnsi="Times New Roman;Times;serif"/>
          <w:sz w:val="24"/>
        </w:rPr>
        <w:t>material containing or disclosing any Company Work Product.</w:t>
      </w:r>
    </w:p>
    <w:tbl>
      <w:tblPr>
        <w:tblW w:w="2525" w:type="dxa"/>
        <w:jc w:val="left"/>
        <w:tblInd w:w="0" w:type="dxa"/>
        <w:tblLayout w:type="fixed"/>
        <w:tblCellMar>
          <w:top w:w="0" w:type="dxa"/>
          <w:left w:w="0" w:type="dxa"/>
          <w:bottom w:w="0" w:type="dxa"/>
          <w:right w:w="0" w:type="dxa"/>
        </w:tblCellMar>
      </w:tblPr>
      <w:tblGrid>
        <w:gridCol w:w="200"/>
        <w:gridCol w:w="2325"/>
      </w:tblGrid>
      <w:tr>
        <w:trPr/>
        <w:tc>
          <w:tcPr>
            <w:tcW w:w="20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9.</w:t>
            </w:r>
          </w:p>
        </w:tc>
        <w:tc>
          <w:tcPr>
            <w:tcW w:w="2325" w:type="dxa"/>
            <w:tcBorders/>
            <w:vAlign w:val="center"/>
          </w:tcPr>
          <w:p>
            <w:pPr>
              <w:pStyle w:val="TableContents"/>
              <w:bidi w:val="0"/>
              <w:spacing w:before="0" w:after="283"/>
              <w:jc w:val="left"/>
              <w:rPr/>
            </w:pPr>
            <w:bookmarkStart w:id="1038" w:name="9._General_Provisions."/>
            <w:bookmarkEnd w:id="1038"/>
            <w:r>
              <w:rPr>
                <w:rFonts w:ascii="Times New Roman;Times;serif" w:hAnsi="Times New Roman;Times;serif"/>
                <w:b/>
                <w:i w:val="false"/>
                <w:smallCaps/>
                <w:sz w:val="24"/>
              </w:rPr>
              <w:t>General</w:t>
            </w:r>
            <w:r>
              <w:rPr>
                <w:smallCaps/>
                <w:spacing w:val="-3"/>
              </w:rPr>
              <w:t xml:space="preserve"> </w:t>
            </w:r>
            <w:r>
              <w:rPr>
                <w:rFonts w:ascii="Times New Roman;Times;serif" w:hAnsi="Times New Roman;Times;serif"/>
                <w:b/>
                <w:i w:val="false"/>
                <w:smallCaps/>
                <w:spacing w:val="-2"/>
                <w:sz w:val="24"/>
              </w:rPr>
              <w:t>Provisions.</w:t>
            </w:r>
          </w:p>
        </w:tc>
      </w:tr>
    </w:tbl>
    <w:p>
      <w:pPr>
        <w:pStyle w:val="TextBody"/>
        <w:bidi w:val="0"/>
        <w:spacing w:before="14" w:after="0"/>
        <w:ind w:left="0" w:right="0" w:hanging="0"/>
        <w:jc w:val="left"/>
        <w:rPr/>
      </w:pPr>
      <w:r>
        <w:rPr/>
        <w:t>​</w:t>
      </w:r>
    </w:p>
    <w:p>
      <w:pPr>
        <w:pStyle w:val="TextBody"/>
        <w:bidi w:val="0"/>
        <w:spacing w:lineRule="auto" w:line="292" w:before="0" w:after="0"/>
        <w:ind w:left="0" w:right="353" w:hanging="0"/>
        <w:jc w:val="both"/>
        <w:rPr>
          <w:rFonts w:ascii="Times New Roman;Times;serif" w:hAnsi="Times New Roman;Times;serif"/>
          <w:sz w:val="22"/>
        </w:rPr>
      </w:pPr>
      <w:r>
        <w:rPr>
          <w:rFonts w:ascii="Times New Roman;Times;serif" w:hAnsi="Times New Roman;Times;serif"/>
          <w:b/>
          <w:sz w:val="24"/>
        </w:rPr>
        <w:t>9.1</w:t>
      </w:r>
      <w:bookmarkStart w:id="1039" w:name="9.1_Governing_Law.__This_Agreement_shall"/>
      <w:bookmarkEnd w:id="1039"/>
      <w:r>
        <w:rPr>
          <w:rFonts w:ascii="Times New Roman;Times;serif" w:hAnsi="Times New Roman;Times;serif"/>
          <w:b/>
          <w:sz w:val="24"/>
        </w:rPr>
        <w:t>Governing Law.</w:t>
      </w:r>
      <w:r>
        <w:rPr>
          <w:rFonts w:ascii="Times New Roman;Times;serif" w:hAnsi="Times New Roman;Times;serif"/>
          <w:spacing w:val="40"/>
          <w:sz w:val="22"/>
        </w:rPr>
        <w:t xml:space="preserve"> </w:t>
      </w:r>
      <w:r>
        <w:rPr>
          <w:rFonts w:ascii="Times New Roman;Times;serif" w:hAnsi="Times New Roman;Times;serif"/>
          <w:sz w:val="24"/>
        </w:rPr>
        <w:t>This Agreement</w:t>
      </w:r>
      <w:r>
        <w:rPr>
          <w:rFonts w:ascii="Times New Roman;Times;serif" w:hAnsi="Times New Roman;Times;serif"/>
          <w:spacing w:val="-2"/>
          <w:sz w:val="22"/>
        </w:rPr>
        <w:t xml:space="preserve"> </w:t>
      </w:r>
      <w:r>
        <w:rPr>
          <w:rFonts w:ascii="Times New Roman;Times;serif" w:hAnsi="Times New Roman;Times;serif"/>
          <w:sz w:val="24"/>
        </w:rPr>
        <w:t>shall be</w:t>
      </w:r>
      <w:r>
        <w:rPr>
          <w:rFonts w:ascii="Times New Roman;Times;serif" w:hAnsi="Times New Roman;Times;serif"/>
          <w:spacing w:val="-3"/>
          <w:sz w:val="22"/>
        </w:rPr>
        <w:t xml:space="preserve"> </w:t>
      </w:r>
      <w:r>
        <w:rPr>
          <w:rFonts w:ascii="Times New Roman;Times;serif" w:hAnsi="Times New Roman;Times;serif"/>
          <w:sz w:val="24"/>
        </w:rPr>
        <w:t>governed and construed in</w:t>
      </w:r>
      <w:r>
        <w:rPr>
          <w:rFonts w:ascii="Times New Roman;Times;serif" w:hAnsi="Times New Roman;Times;serif"/>
          <w:spacing w:val="-2"/>
          <w:sz w:val="22"/>
        </w:rPr>
        <w:t xml:space="preserve"> </w:t>
      </w:r>
      <w:r>
        <w:rPr>
          <w:rFonts w:ascii="Times New Roman;Times;serif" w:hAnsi="Times New Roman;Times;serif"/>
          <w:sz w:val="24"/>
        </w:rPr>
        <w:t>accordance with the laws of the state of Massachusetts, excluding its choice of law principles.</w:t>
      </w:r>
    </w:p>
    <w:p>
      <w:pPr>
        <w:pStyle w:val="TextBody"/>
        <w:bidi w:val="0"/>
        <w:spacing w:before="224" w:after="283"/>
        <w:ind w:left="0" w:right="350" w:hanging="0"/>
        <w:jc w:val="both"/>
        <w:rPr>
          <w:rFonts w:ascii="Times New Roman;Times;serif" w:hAnsi="Times New Roman;Times;serif"/>
          <w:sz w:val="22"/>
        </w:rPr>
      </w:pPr>
      <w:r>
        <w:rPr>
          <w:rFonts w:ascii="Times New Roman;Times;serif" w:hAnsi="Times New Roman;Times;serif"/>
          <w:b/>
          <w:sz w:val="24"/>
        </w:rPr>
        <w:t>9.2</w:t>
      </w:r>
      <w:bookmarkStart w:id="1040" w:name="9.2_Severability;_No_Assignment.__In_cas"/>
      <w:bookmarkEnd w:id="1040"/>
      <w:r>
        <w:rPr>
          <w:rFonts w:ascii="Times New Roman;Times;serif" w:hAnsi="Times New Roman;Times;serif"/>
          <w:b/>
          <w:sz w:val="24"/>
        </w:rPr>
        <w:t>Severability;</w:t>
      </w:r>
      <w:r>
        <w:rPr>
          <w:rFonts w:ascii="Times New Roman;Times;serif" w:hAnsi="Times New Roman;Times;serif"/>
          <w:spacing w:val="-15"/>
          <w:sz w:val="22"/>
        </w:rPr>
        <w:t xml:space="preserve"> </w:t>
      </w:r>
      <w:r>
        <w:rPr>
          <w:rFonts w:ascii="Times New Roman;Times;serif" w:hAnsi="Times New Roman;Times;serif"/>
          <w:b/>
          <w:sz w:val="24"/>
        </w:rPr>
        <w:t>No</w:t>
      </w:r>
      <w:r>
        <w:rPr>
          <w:rFonts w:ascii="Times New Roman;Times;serif" w:hAnsi="Times New Roman;Times;serif"/>
          <w:spacing w:val="-15"/>
          <w:sz w:val="22"/>
        </w:rPr>
        <w:t xml:space="preserve"> </w:t>
      </w:r>
      <w:r>
        <w:rPr>
          <w:rFonts w:ascii="Times New Roman;Times;serif" w:hAnsi="Times New Roman;Times;serif"/>
          <w:b/>
          <w:sz w:val="24"/>
        </w:rPr>
        <w:t>Assignment.</w:t>
      </w:r>
      <w:r>
        <w:rPr>
          <w:rFonts w:ascii="Times New Roman;Times;serif" w:hAnsi="Times New Roman;Times;serif"/>
          <w:spacing w:val="32"/>
          <w:sz w:val="22"/>
        </w:rPr>
        <w:t xml:space="preserve"> </w:t>
      </w:r>
      <w:r>
        <w:rPr>
          <w:rFonts w:ascii="Times New Roman;Times;serif" w:hAnsi="Times New Roman;Times;serif"/>
          <w:sz w:val="24"/>
        </w:rPr>
        <w:t>In</w:t>
      </w:r>
      <w:r>
        <w:rPr>
          <w:rFonts w:ascii="Times New Roman;Times;serif" w:hAnsi="Times New Roman;Times;serif"/>
          <w:spacing w:val="-15"/>
          <w:sz w:val="22"/>
        </w:rPr>
        <w:t xml:space="preserve"> </w:t>
      </w:r>
      <w:r>
        <w:rPr>
          <w:rFonts w:ascii="Times New Roman;Times;serif" w:hAnsi="Times New Roman;Times;serif"/>
          <w:sz w:val="24"/>
        </w:rPr>
        <w:t>case</w:t>
      </w:r>
      <w:r>
        <w:rPr>
          <w:rFonts w:ascii="Times New Roman;Times;serif" w:hAnsi="Times New Roman;Times;serif"/>
          <w:spacing w:val="-12"/>
          <w:sz w:val="22"/>
        </w:rPr>
        <w:t xml:space="preserve"> </w:t>
      </w:r>
      <w:r>
        <w:rPr>
          <w:rFonts w:ascii="Times New Roman;Times;serif" w:hAnsi="Times New Roman;Times;serif"/>
          <w:sz w:val="24"/>
        </w:rPr>
        <w:t>any</w:t>
      </w:r>
      <w:r>
        <w:rPr>
          <w:rFonts w:ascii="Times New Roman;Times;serif" w:hAnsi="Times New Roman;Times;serif"/>
          <w:spacing w:val="-11"/>
          <w:sz w:val="22"/>
        </w:rPr>
        <w:t xml:space="preserve"> </w:t>
      </w:r>
      <w:r>
        <w:rPr>
          <w:rFonts w:ascii="Times New Roman;Times;serif" w:hAnsi="Times New Roman;Times;serif"/>
          <w:sz w:val="24"/>
        </w:rPr>
        <w:t>one</w:t>
      </w:r>
      <w:r>
        <w:rPr>
          <w:rFonts w:ascii="Times New Roman;Times;serif" w:hAnsi="Times New Roman;Times;serif"/>
          <w:spacing w:val="-15"/>
          <w:sz w:val="22"/>
        </w:rPr>
        <w:t xml:space="preserve"> </w:t>
      </w:r>
      <w:r>
        <w:rPr>
          <w:rFonts w:ascii="Times New Roman;Times;serif" w:hAnsi="Times New Roman;Times;serif"/>
          <w:sz w:val="24"/>
        </w:rPr>
        <w:t>or</w:t>
      </w:r>
      <w:r>
        <w:rPr>
          <w:rFonts w:ascii="Times New Roman;Times;serif" w:hAnsi="Times New Roman;Times;serif"/>
          <w:spacing w:val="-15"/>
          <w:sz w:val="22"/>
        </w:rPr>
        <w:t xml:space="preserve"> </w:t>
      </w:r>
      <w:r>
        <w:rPr>
          <w:rFonts w:ascii="Times New Roman;Times;serif" w:hAnsi="Times New Roman;Times;serif"/>
          <w:sz w:val="24"/>
        </w:rPr>
        <w:t>more</w:t>
      </w:r>
      <w:r>
        <w:rPr>
          <w:rFonts w:ascii="Times New Roman;Times;serif" w:hAnsi="Times New Roman;Times;serif"/>
          <w:spacing w:val="-12"/>
          <w:sz w:val="22"/>
        </w:rPr>
        <w:t xml:space="preserve"> </w:t>
      </w:r>
      <w:r>
        <w:rPr>
          <w:rFonts w:ascii="Times New Roman;Times;serif" w:hAnsi="Times New Roman;Times;serif"/>
          <w:sz w:val="24"/>
        </w:rPr>
        <w:t>of</w:t>
      </w:r>
      <w:r>
        <w:rPr>
          <w:rFonts w:ascii="Times New Roman;Times;serif" w:hAnsi="Times New Roman;Times;serif"/>
          <w:spacing w:val="-14"/>
          <w:sz w:val="22"/>
        </w:rPr>
        <w:t xml:space="preserve"> </w:t>
      </w:r>
      <w:r>
        <w:rPr>
          <w:rFonts w:ascii="Times New Roman;Times;serif" w:hAnsi="Times New Roman;Times;serif"/>
          <w:sz w:val="24"/>
        </w:rPr>
        <w:t>the</w:t>
      </w:r>
      <w:r>
        <w:rPr>
          <w:rFonts w:ascii="Times New Roman;Times;serif" w:hAnsi="Times New Roman;Times;serif"/>
          <w:spacing w:val="-15"/>
          <w:sz w:val="22"/>
        </w:rPr>
        <w:t xml:space="preserve"> </w:t>
      </w:r>
      <w:r>
        <w:rPr>
          <w:rFonts w:ascii="Times New Roman;Times;serif" w:hAnsi="Times New Roman;Times;serif"/>
          <w:sz w:val="24"/>
        </w:rPr>
        <w:t>provisions</w:t>
      </w:r>
      <w:r>
        <w:rPr>
          <w:rFonts w:ascii="Times New Roman;Times;serif" w:hAnsi="Times New Roman;Times;serif"/>
          <w:spacing w:val="-10"/>
          <w:sz w:val="22"/>
        </w:rPr>
        <w:t xml:space="preserve"> </w:t>
      </w:r>
      <w:r>
        <w:rPr>
          <w:rFonts w:ascii="Times New Roman;Times;serif" w:hAnsi="Times New Roman;Times;serif"/>
          <w:sz w:val="24"/>
        </w:rPr>
        <w:t>contained in this Agreement shall, for any reason, be held to be invalid, illegal, or unenforceable in any respect, such invalidity, illegality, or unenforceability shall not affect the other provisions of this Agreement.</w:t>
      </w:r>
      <w:r>
        <w:rPr>
          <w:rFonts w:ascii="Times New Roman;Times;serif" w:hAnsi="Times New Roman;Times;serif"/>
          <w:spacing w:val="80"/>
          <w:sz w:val="22"/>
        </w:rPr>
        <w:t xml:space="preserve"> </w:t>
      </w:r>
      <w:r>
        <w:rPr>
          <w:rFonts w:ascii="Times New Roman;Times;serif" w:hAnsi="Times New Roman;Times;serif"/>
          <w:sz w:val="24"/>
        </w:rPr>
        <w:t>This</w:t>
      </w:r>
      <w:r>
        <w:rPr>
          <w:rFonts w:ascii="Times New Roman;Times;serif" w:hAnsi="Times New Roman;Times;serif"/>
          <w:spacing w:val="-13"/>
          <w:sz w:val="22"/>
        </w:rPr>
        <w:t xml:space="preserve"> </w:t>
      </w:r>
      <w:r>
        <w:rPr>
          <w:rFonts w:ascii="Times New Roman;Times;serif" w:hAnsi="Times New Roman;Times;serif"/>
          <w:sz w:val="24"/>
        </w:rPr>
        <w:t>Agreement</w:t>
      </w:r>
      <w:r>
        <w:rPr>
          <w:rFonts w:ascii="Times New Roman;Times;serif" w:hAnsi="Times New Roman;Times;serif"/>
          <w:spacing w:val="-12"/>
          <w:sz w:val="22"/>
        </w:rPr>
        <w:t xml:space="preserve"> </w:t>
      </w:r>
      <w:r>
        <w:rPr>
          <w:rFonts w:ascii="Times New Roman;Times;serif" w:hAnsi="Times New Roman;Times;serif"/>
          <w:sz w:val="24"/>
        </w:rPr>
        <w:t>may</w:t>
      </w:r>
      <w:r>
        <w:rPr>
          <w:rFonts w:ascii="Times New Roman;Times;serif" w:hAnsi="Times New Roman;Times;serif"/>
          <w:spacing w:val="-12"/>
          <w:sz w:val="22"/>
        </w:rPr>
        <w:t xml:space="preserve"> </w:t>
      </w:r>
      <w:r>
        <w:rPr>
          <w:rFonts w:ascii="Times New Roman;Times;serif" w:hAnsi="Times New Roman;Times;serif"/>
          <w:sz w:val="24"/>
        </w:rPr>
        <w:t>not</w:t>
      </w:r>
      <w:r>
        <w:rPr>
          <w:rFonts w:ascii="Times New Roman;Times;serif" w:hAnsi="Times New Roman;Times;serif"/>
          <w:spacing w:val="-15"/>
          <w:sz w:val="22"/>
        </w:rPr>
        <w:t xml:space="preserve"> </w:t>
      </w:r>
      <w:r>
        <w:rPr>
          <w:rFonts w:ascii="Times New Roman;Times;serif" w:hAnsi="Times New Roman;Times;serif"/>
          <w:sz w:val="24"/>
        </w:rPr>
        <w:t>be</w:t>
      </w:r>
      <w:r>
        <w:rPr>
          <w:rFonts w:ascii="Times New Roman;Times;serif" w:hAnsi="Times New Roman;Times;serif"/>
          <w:spacing w:val="-13"/>
          <w:sz w:val="22"/>
        </w:rPr>
        <w:t xml:space="preserve"> </w:t>
      </w:r>
      <w:r>
        <w:rPr>
          <w:rFonts w:ascii="Times New Roman;Times;serif" w:hAnsi="Times New Roman;Times;serif"/>
          <w:sz w:val="24"/>
        </w:rPr>
        <w:t>assigned</w:t>
      </w:r>
      <w:r>
        <w:rPr>
          <w:rFonts w:ascii="Times New Roman;Times;serif" w:hAnsi="Times New Roman;Times;serif"/>
          <w:spacing w:val="-12"/>
          <w:sz w:val="22"/>
        </w:rPr>
        <w:t xml:space="preserve"> </w:t>
      </w:r>
      <w:r>
        <w:rPr>
          <w:rFonts w:ascii="Times New Roman;Times;serif" w:hAnsi="Times New Roman;Times;serif"/>
          <w:sz w:val="24"/>
        </w:rPr>
        <w:t>by</w:t>
      </w:r>
      <w:r>
        <w:rPr>
          <w:rFonts w:ascii="Times New Roman;Times;serif" w:hAnsi="Times New Roman;Times;serif"/>
          <w:spacing w:val="-12"/>
          <w:sz w:val="22"/>
        </w:rPr>
        <w:t xml:space="preserve"> </w:t>
      </w:r>
      <w:r>
        <w:rPr>
          <w:rFonts w:ascii="Times New Roman;Times;serif" w:hAnsi="Times New Roman;Times;serif"/>
          <w:sz w:val="24"/>
        </w:rPr>
        <w:t>Consultant</w:t>
      </w:r>
      <w:r>
        <w:rPr>
          <w:rFonts w:ascii="Times New Roman;Times;serif" w:hAnsi="Times New Roman;Times;serif"/>
          <w:spacing w:val="-11"/>
          <w:sz w:val="22"/>
        </w:rPr>
        <w:t xml:space="preserve"> </w:t>
      </w:r>
      <w:r>
        <w:rPr>
          <w:rFonts w:ascii="Times New Roman;Times;serif" w:hAnsi="Times New Roman;Times;serif"/>
          <w:sz w:val="24"/>
        </w:rPr>
        <w:t>without</w:t>
      </w:r>
      <w:r>
        <w:rPr>
          <w:rFonts w:ascii="Times New Roman;Times;serif" w:hAnsi="Times New Roman;Times;serif"/>
          <w:spacing w:val="-7"/>
          <w:sz w:val="22"/>
        </w:rPr>
        <w:t xml:space="preserve"> </w:t>
      </w:r>
      <w:r>
        <w:rPr>
          <w:rFonts w:ascii="Times New Roman;Times;serif" w:hAnsi="Times New Roman;Times;serif"/>
          <w:sz w:val="24"/>
        </w:rPr>
        <w:t>Company’s</w:t>
      </w:r>
      <w:r>
        <w:rPr>
          <w:rFonts w:ascii="Times New Roman;Times;serif" w:hAnsi="Times New Roman;Times;serif"/>
          <w:spacing w:val="-14"/>
          <w:sz w:val="22"/>
        </w:rPr>
        <w:t xml:space="preserve"> </w:t>
      </w:r>
      <w:r>
        <w:rPr>
          <w:rFonts w:ascii="Times New Roman;Times;serif" w:hAnsi="Times New Roman;Times;serif"/>
          <w:sz w:val="24"/>
        </w:rPr>
        <w:t>consent,</w:t>
      </w:r>
      <w:r>
        <w:rPr>
          <w:rFonts w:ascii="Times New Roman;Times;serif" w:hAnsi="Times New Roman;Times;serif"/>
          <w:spacing w:val="-9"/>
          <w:sz w:val="22"/>
        </w:rPr>
        <w:t xml:space="preserve"> </w:t>
      </w:r>
      <w:r>
        <w:rPr>
          <w:rFonts w:ascii="Times New Roman;Times;serif" w:hAnsi="Times New Roman;Times;serif"/>
          <w:sz w:val="24"/>
        </w:rPr>
        <w:t>and any such attempted assignment shall be void and of no effect.</w:t>
      </w:r>
    </w:p>
    <w:p>
      <w:pPr>
        <w:pStyle w:val="TextBody"/>
        <w:bidi w:val="0"/>
        <w:spacing w:before="0" w:after="0"/>
        <w:ind w:left="0" w:right="350" w:hanging="0"/>
        <w:jc w:val="both"/>
        <w:rPr/>
      </w:pPr>
      <w:r>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w:t>
      </w:r>
    </w:p>
    <w:p>
      <w:pPr>
        <w:pStyle w:val="TextBody"/>
        <w:bidi w:val="0"/>
        <w:spacing w:lineRule="auto" w:line="16"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ind w:left="0" w:right="357" w:hanging="0"/>
        <w:jc w:val="both"/>
        <w:rPr>
          <w:rFonts w:ascii="Times New Roman;Times;serif" w:hAnsi="Times New Roman;Times;serif"/>
          <w:sz w:val="22"/>
        </w:rPr>
      </w:pPr>
      <w:r>
        <w:rPr>
          <w:rFonts w:ascii="Times New Roman;Times;serif" w:hAnsi="Times New Roman;Times;serif"/>
          <w:b/>
          <w:sz w:val="24"/>
        </w:rPr>
        <w:t>9.3</w:t>
      </w:r>
      <w:bookmarkStart w:id="1041" w:name="9.3_Entire_Agreement.__This_Agreement_is"/>
      <w:bookmarkEnd w:id="1041"/>
      <w:r>
        <w:rPr>
          <w:rFonts w:ascii="Times New Roman;Times;serif" w:hAnsi="Times New Roman;Times;serif"/>
          <w:b/>
          <w:sz w:val="24"/>
        </w:rPr>
        <w:t>Entire Agreement.</w:t>
      </w:r>
      <w:r>
        <w:rPr>
          <w:rFonts w:ascii="Times New Roman;Times;serif" w:hAnsi="Times New Roman;Times;serif"/>
          <w:spacing w:val="40"/>
          <w:sz w:val="22"/>
        </w:rPr>
        <w:t xml:space="preserve"> </w:t>
      </w:r>
      <w:r>
        <w:rPr>
          <w:rFonts w:ascii="Times New Roman;Times;serif" w:hAnsi="Times New Roman;Times;serif"/>
          <w:sz w:val="24"/>
        </w:rPr>
        <w:t>This Agreement is the final, complete, and exclusive agreement of the parties with respect to the subject matter hereof, and supersedes and merges all prior or contemporaneous proposals, discussions, negotiations, understandings, promises, representations,</w:t>
      </w:r>
      <w:r>
        <w:rPr>
          <w:rFonts w:ascii="Times New Roman;Times;serif" w:hAnsi="Times New Roman;Times;serif"/>
          <w:spacing w:val="-11"/>
          <w:sz w:val="22"/>
        </w:rPr>
        <w:t xml:space="preserve"> </w:t>
      </w:r>
      <w:r>
        <w:rPr>
          <w:rFonts w:ascii="Times New Roman;Times;serif" w:hAnsi="Times New Roman;Times;serif"/>
          <w:sz w:val="24"/>
        </w:rPr>
        <w:t>conditions,</w:t>
      </w:r>
      <w:r>
        <w:rPr>
          <w:rFonts w:ascii="Times New Roman;Times;serif" w:hAnsi="Times New Roman;Times;serif"/>
          <w:spacing w:val="-11"/>
          <w:sz w:val="22"/>
        </w:rPr>
        <w:t xml:space="preserve"> </w:t>
      </w:r>
      <w:r>
        <w:rPr>
          <w:rFonts w:ascii="Times New Roman;Times;serif" w:hAnsi="Times New Roman;Times;serif"/>
          <w:sz w:val="24"/>
        </w:rPr>
        <w:t>communications</w:t>
      </w:r>
      <w:r>
        <w:rPr>
          <w:rFonts w:ascii="Times New Roman;Times;serif" w:hAnsi="Times New Roman;Times;serif"/>
          <w:spacing w:val="-15"/>
          <w:sz w:val="22"/>
        </w:rPr>
        <w:t xml:space="preserve"> </w:t>
      </w:r>
      <w:r>
        <w:rPr>
          <w:rFonts w:ascii="Times New Roman;Times;serif" w:hAnsi="Times New Roman;Times;serif"/>
          <w:sz w:val="24"/>
        </w:rPr>
        <w:t>and</w:t>
      </w:r>
      <w:r>
        <w:rPr>
          <w:rFonts w:ascii="Times New Roman;Times;serif" w:hAnsi="Times New Roman;Times;serif"/>
          <w:spacing w:val="-13"/>
          <w:sz w:val="22"/>
        </w:rPr>
        <w:t xml:space="preserve"> </w:t>
      </w:r>
      <w:r>
        <w:rPr>
          <w:rFonts w:ascii="Times New Roman;Times;serif" w:hAnsi="Times New Roman;Times;serif"/>
          <w:sz w:val="24"/>
        </w:rPr>
        <w:t>agreements,</w:t>
      </w:r>
      <w:r>
        <w:rPr>
          <w:rFonts w:ascii="Times New Roman;Times;serif" w:hAnsi="Times New Roman;Times;serif"/>
          <w:spacing w:val="-11"/>
          <w:sz w:val="22"/>
        </w:rPr>
        <w:t xml:space="preserve"> </w:t>
      </w:r>
      <w:r>
        <w:rPr>
          <w:rFonts w:ascii="Times New Roman;Times;serif" w:hAnsi="Times New Roman;Times;serif"/>
          <w:sz w:val="24"/>
        </w:rPr>
        <w:t>whether</w:t>
      </w:r>
      <w:r>
        <w:rPr>
          <w:rFonts w:ascii="Times New Roman;Times;serif" w:hAnsi="Times New Roman;Times;serif"/>
          <w:spacing w:val="-12"/>
          <w:sz w:val="22"/>
        </w:rPr>
        <w:t xml:space="preserve"> </w:t>
      </w:r>
      <w:r>
        <w:rPr>
          <w:rFonts w:ascii="Times New Roman;Times;serif" w:hAnsi="Times New Roman;Times;serif"/>
          <w:sz w:val="24"/>
        </w:rPr>
        <w:t>written</w:t>
      </w:r>
      <w:r>
        <w:rPr>
          <w:rFonts w:ascii="Times New Roman;Times;serif" w:hAnsi="Times New Roman;Times;serif"/>
          <w:spacing w:val="-13"/>
          <w:sz w:val="22"/>
        </w:rPr>
        <w:t xml:space="preserve"> </w:t>
      </w:r>
      <w:r>
        <w:rPr>
          <w:rFonts w:ascii="Times New Roman;Times;serif" w:hAnsi="Times New Roman;Times;serif"/>
          <w:sz w:val="24"/>
        </w:rPr>
        <w:t>or</w:t>
      </w:r>
      <w:r>
        <w:rPr>
          <w:rFonts w:ascii="Times New Roman;Times;serif" w:hAnsi="Times New Roman;Times;serif"/>
          <w:spacing w:val="-11"/>
          <w:sz w:val="22"/>
        </w:rPr>
        <w:t xml:space="preserve"> </w:t>
      </w:r>
      <w:r>
        <w:rPr>
          <w:rFonts w:ascii="Times New Roman;Times;serif" w:hAnsi="Times New Roman;Times;serif"/>
          <w:sz w:val="24"/>
        </w:rPr>
        <w:t>oral,</w:t>
      </w:r>
      <w:r>
        <w:rPr>
          <w:rFonts w:ascii="Times New Roman;Times;serif" w:hAnsi="Times New Roman;Times;serif"/>
          <w:spacing w:val="-10"/>
          <w:sz w:val="22"/>
        </w:rPr>
        <w:t xml:space="preserve"> </w:t>
      </w:r>
      <w:r>
        <w:rPr>
          <w:rFonts w:ascii="Times New Roman;Times;serif" w:hAnsi="Times New Roman;Times;serif"/>
          <w:sz w:val="24"/>
        </w:rPr>
        <w:t>between</w:t>
      </w:r>
      <w:r>
        <w:rPr>
          <w:rFonts w:ascii="Times New Roman;Times;serif" w:hAnsi="Times New Roman;Times;serif"/>
          <w:spacing w:val="-13"/>
          <w:sz w:val="22"/>
        </w:rPr>
        <w:t xml:space="preserve"> </w:t>
      </w:r>
      <w:r>
        <w:rPr>
          <w:rFonts w:ascii="Times New Roman;Times;serif" w:hAnsi="Times New Roman;Times;serif"/>
          <w:sz w:val="24"/>
        </w:rPr>
        <w:t>the parties</w:t>
      </w:r>
      <w:r>
        <w:rPr>
          <w:rFonts w:ascii="Times New Roman;Times;serif" w:hAnsi="Times New Roman;Times;serif"/>
          <w:spacing w:val="-3"/>
          <w:sz w:val="22"/>
        </w:rPr>
        <w:t xml:space="preserve"> </w:t>
      </w:r>
      <w:r>
        <w:rPr>
          <w:rFonts w:ascii="Times New Roman;Times;serif" w:hAnsi="Times New Roman;Times;serif"/>
          <w:sz w:val="24"/>
        </w:rPr>
        <w:t>with</w:t>
      </w:r>
      <w:r>
        <w:rPr>
          <w:rFonts w:ascii="Times New Roman;Times;serif" w:hAnsi="Times New Roman;Times;serif"/>
          <w:spacing w:val="-1"/>
          <w:sz w:val="22"/>
        </w:rPr>
        <w:t xml:space="preserve"> </w:t>
      </w:r>
      <w:r>
        <w:rPr>
          <w:rFonts w:ascii="Times New Roman;Times;serif" w:hAnsi="Times New Roman;Times;serif"/>
          <w:sz w:val="24"/>
        </w:rPr>
        <w:t>respect</w:t>
      </w:r>
      <w:r>
        <w:rPr>
          <w:rFonts w:ascii="Times New Roman;Times;serif" w:hAnsi="Times New Roman;Times;serif"/>
          <w:spacing w:val="-1"/>
          <w:sz w:val="22"/>
        </w:rPr>
        <w:t xml:space="preserve"> </w:t>
      </w:r>
      <w:r>
        <w:rPr>
          <w:rFonts w:ascii="Times New Roman;Times;serif" w:hAnsi="Times New Roman;Times;serif"/>
          <w:sz w:val="24"/>
        </w:rPr>
        <w:t>to</w:t>
      </w:r>
      <w:r>
        <w:rPr>
          <w:rFonts w:ascii="Times New Roman;Times;serif" w:hAnsi="Times New Roman;Times;serif"/>
          <w:spacing w:val="-1"/>
          <w:sz w:val="22"/>
        </w:rPr>
        <w:t xml:space="preserve"> </w:t>
      </w:r>
      <w:r>
        <w:rPr>
          <w:rFonts w:ascii="Times New Roman;Times;serif" w:hAnsi="Times New Roman;Times;serif"/>
          <w:sz w:val="24"/>
        </w:rPr>
        <w:t>such subject</w:t>
      </w:r>
      <w:r>
        <w:rPr>
          <w:rFonts w:ascii="Times New Roman;Times;serif" w:hAnsi="Times New Roman;Times;serif"/>
          <w:spacing w:val="-1"/>
          <w:sz w:val="22"/>
        </w:rPr>
        <w:t xml:space="preserve"> </w:t>
      </w:r>
      <w:r>
        <w:rPr>
          <w:rFonts w:ascii="Times New Roman;Times;serif" w:hAnsi="Times New Roman;Times;serif"/>
          <w:sz w:val="24"/>
        </w:rPr>
        <w:t>matter.</w:t>
      </w:r>
      <w:r>
        <w:rPr>
          <w:rFonts w:ascii="Times New Roman;Times;serif" w:hAnsi="Times New Roman;Times;serif"/>
          <w:spacing w:val="40"/>
          <w:sz w:val="22"/>
        </w:rPr>
        <w:t xml:space="preserve"> </w:t>
      </w:r>
      <w:r>
        <w:rPr>
          <w:rFonts w:ascii="Times New Roman;Times;serif" w:hAnsi="Times New Roman;Times;serif"/>
          <w:sz w:val="24"/>
        </w:rPr>
        <w:t>No</w:t>
      </w:r>
      <w:r>
        <w:rPr>
          <w:rFonts w:ascii="Times New Roman;Times;serif" w:hAnsi="Times New Roman;Times;serif"/>
          <w:spacing w:val="-1"/>
          <w:sz w:val="22"/>
        </w:rPr>
        <w:t xml:space="preserve"> </w:t>
      </w:r>
      <w:r>
        <w:rPr>
          <w:rFonts w:ascii="Times New Roman;Times;serif" w:hAnsi="Times New Roman;Times;serif"/>
          <w:sz w:val="24"/>
        </w:rPr>
        <w:t>modification</w:t>
      </w:r>
      <w:r>
        <w:rPr>
          <w:rFonts w:ascii="Times New Roman;Times;serif" w:hAnsi="Times New Roman;Times;serif"/>
          <w:spacing w:val="-1"/>
          <w:sz w:val="22"/>
        </w:rPr>
        <w:t xml:space="preserve"> </w:t>
      </w:r>
      <w:r>
        <w:rPr>
          <w:rFonts w:ascii="Times New Roman;Times;serif" w:hAnsi="Times New Roman;Times;serif"/>
          <w:sz w:val="24"/>
        </w:rPr>
        <w:t>of or amendment</w:t>
      </w:r>
      <w:r>
        <w:rPr>
          <w:rFonts w:ascii="Times New Roman;Times;serif" w:hAnsi="Times New Roman;Times;serif"/>
          <w:spacing w:val="-1"/>
          <w:sz w:val="22"/>
        </w:rPr>
        <w:t xml:space="preserve"> </w:t>
      </w:r>
      <w:r>
        <w:rPr>
          <w:rFonts w:ascii="Times New Roman;Times;serif" w:hAnsi="Times New Roman;Times;serif"/>
          <w:sz w:val="24"/>
        </w:rPr>
        <w:t>to</w:t>
      </w:r>
      <w:r>
        <w:rPr>
          <w:rFonts w:ascii="Times New Roman;Times;serif" w:hAnsi="Times New Roman;Times;serif"/>
          <w:spacing w:val="-1"/>
          <w:sz w:val="22"/>
        </w:rPr>
        <w:t xml:space="preserve"> </w:t>
      </w:r>
      <w:r>
        <w:rPr>
          <w:rFonts w:ascii="Times New Roman;Times;serif" w:hAnsi="Times New Roman;Times;serif"/>
          <w:sz w:val="24"/>
        </w:rPr>
        <w:t>this</w:t>
      </w:r>
      <w:r>
        <w:rPr>
          <w:rFonts w:ascii="Times New Roman;Times;serif" w:hAnsi="Times New Roman;Times;serif"/>
          <w:spacing w:val="-3"/>
          <w:sz w:val="22"/>
        </w:rPr>
        <w:t xml:space="preserve"> </w:t>
      </w:r>
      <w:r>
        <w:rPr>
          <w:rFonts w:ascii="Times New Roman;Times;serif" w:hAnsi="Times New Roman;Times;serif"/>
          <w:sz w:val="24"/>
        </w:rPr>
        <w:t>Agreement, nor any waiver of any rights</w:t>
      </w:r>
      <w:r>
        <w:rPr>
          <w:rFonts w:ascii="Times New Roman;Times;serif" w:hAnsi="Times New Roman;Times;serif"/>
          <w:spacing w:val="-3"/>
          <w:sz w:val="22"/>
        </w:rPr>
        <w:t xml:space="preserve"> </w:t>
      </w:r>
      <w:r>
        <w:rPr>
          <w:rFonts w:ascii="Times New Roman;Times;serif" w:hAnsi="Times New Roman;Times;serif"/>
          <w:sz w:val="24"/>
        </w:rPr>
        <w:t>under this</w:t>
      </w:r>
      <w:r>
        <w:rPr>
          <w:rFonts w:ascii="Times New Roman;Times;serif" w:hAnsi="Times New Roman;Times;serif"/>
          <w:spacing w:val="-3"/>
          <w:sz w:val="22"/>
        </w:rPr>
        <w:t xml:space="preserve"> </w:t>
      </w:r>
      <w:r>
        <w:rPr>
          <w:rFonts w:ascii="Times New Roman;Times;serif" w:hAnsi="Times New Roman;Times;serif"/>
          <w:sz w:val="24"/>
        </w:rPr>
        <w:t>Agreement, will be effective unless in writing and signed by Consultant and an officer of Company.</w:t>
      </w:r>
    </w:p>
    <w:p>
      <w:pPr>
        <w:pStyle w:val="TextBody"/>
        <w:bidi w:val="0"/>
        <w:spacing w:lineRule="auto" w:line="288" w:before="238" w:after="0"/>
        <w:ind w:left="0" w:right="0" w:firstLine="576"/>
        <w:jc w:val="left"/>
        <w:rPr>
          <w:rFonts w:ascii="Times New Roman;Times;serif" w:hAnsi="Times New Roman;Times;serif"/>
          <w:sz w:val="24"/>
        </w:rPr>
      </w:pPr>
      <w:r>
        <w:rPr>
          <w:rFonts w:ascii="Times New Roman;Times;serif" w:hAnsi="Times New Roman;Times;serif"/>
          <w:b/>
          <w:smallCaps/>
          <w:spacing w:val="-2"/>
          <w:sz w:val="24"/>
        </w:rPr>
        <w:t>In</w:t>
      </w:r>
      <w:r>
        <w:rPr>
          <w:rFonts w:ascii="Times New Roman;Times;serif" w:hAnsi="Times New Roman;Times;serif"/>
          <w:smallCaps/>
          <w:spacing w:val="-3"/>
          <w:sz w:val="24"/>
        </w:rPr>
        <w:t xml:space="preserve"> </w:t>
      </w:r>
      <w:r>
        <w:rPr>
          <w:rFonts w:ascii="Times New Roman;Times;serif" w:hAnsi="Times New Roman;Times;serif"/>
          <w:b/>
          <w:smallCaps/>
          <w:spacing w:val="-2"/>
          <w:sz w:val="24"/>
        </w:rPr>
        <w:t>Witness</w:t>
      </w:r>
      <w:r>
        <w:rPr>
          <w:rFonts w:ascii="Times New Roman;Times;serif" w:hAnsi="Times New Roman;Times;serif"/>
          <w:smallCaps/>
          <w:spacing w:val="-9"/>
          <w:sz w:val="24"/>
        </w:rPr>
        <w:t xml:space="preserve"> </w:t>
      </w:r>
      <w:r>
        <w:rPr>
          <w:rFonts w:ascii="Times New Roman;Times;serif" w:hAnsi="Times New Roman;Times;serif"/>
          <w:b/>
          <w:smallCaps/>
          <w:spacing w:val="-2"/>
          <w:sz w:val="24"/>
        </w:rPr>
        <w:t>Whereof,</w:t>
      </w:r>
      <w:r>
        <w:rPr>
          <w:rFonts w:ascii="Times New Roman;Times;serif" w:hAnsi="Times New Roman;Times;serif"/>
          <w:smallCaps/>
          <w:spacing w:val="-9"/>
          <w:sz w:val="24"/>
        </w:rPr>
        <w:t xml:space="preserve"> </w:t>
      </w:r>
      <w:r>
        <w:rPr>
          <w:rFonts w:ascii="Times New Roman;Times;serif" w:hAnsi="Times New Roman;Times;serif"/>
          <w:spacing w:val="-2"/>
          <w:sz w:val="24"/>
        </w:rPr>
        <w:t>the</w:t>
      </w:r>
      <w:r>
        <w:rPr>
          <w:rFonts w:ascii="Times New Roman;Times;serif" w:hAnsi="Times New Roman;Times;serif"/>
          <w:spacing w:val="-12"/>
          <w:sz w:val="24"/>
        </w:rPr>
        <w:t xml:space="preserve"> </w:t>
      </w:r>
      <w:r>
        <w:rPr>
          <w:rFonts w:ascii="Times New Roman;Times;serif" w:hAnsi="Times New Roman;Times;serif"/>
          <w:spacing w:val="-2"/>
          <w:sz w:val="24"/>
        </w:rPr>
        <w:t>parties</w:t>
      </w:r>
      <w:r>
        <w:rPr>
          <w:rFonts w:ascii="Times New Roman;Times;serif" w:hAnsi="Times New Roman;Times;serif"/>
          <w:spacing w:val="-8"/>
          <w:sz w:val="24"/>
        </w:rPr>
        <w:t xml:space="preserve"> </w:t>
      </w:r>
      <w:r>
        <w:rPr>
          <w:rFonts w:ascii="Times New Roman;Times;serif" w:hAnsi="Times New Roman;Times;serif"/>
          <w:spacing w:val="-2"/>
          <w:sz w:val="24"/>
        </w:rPr>
        <w:t>have</w:t>
      </w:r>
      <w:r>
        <w:rPr>
          <w:rFonts w:ascii="Times New Roman;Times;serif" w:hAnsi="Times New Roman;Times;serif"/>
          <w:spacing w:val="-8"/>
          <w:sz w:val="24"/>
        </w:rPr>
        <w:t xml:space="preserve"> </w:t>
      </w:r>
      <w:r>
        <w:rPr>
          <w:rFonts w:ascii="Times New Roman;Times;serif" w:hAnsi="Times New Roman;Times;serif"/>
          <w:spacing w:val="-2"/>
          <w:sz w:val="24"/>
        </w:rPr>
        <w:t>caused</w:t>
      </w:r>
      <w:r>
        <w:rPr>
          <w:rFonts w:ascii="Times New Roman;Times;serif" w:hAnsi="Times New Roman;Times;serif"/>
          <w:spacing w:val="-11"/>
          <w:sz w:val="24"/>
        </w:rPr>
        <w:t xml:space="preserve"> </w:t>
      </w:r>
      <w:r>
        <w:rPr>
          <w:rFonts w:ascii="Times New Roman;Times;serif" w:hAnsi="Times New Roman;Times;serif"/>
          <w:spacing w:val="-2"/>
          <w:sz w:val="24"/>
        </w:rPr>
        <w:t>this</w:t>
      </w:r>
      <w:r>
        <w:rPr>
          <w:rFonts w:ascii="Times New Roman;Times;serif" w:hAnsi="Times New Roman;Times;serif"/>
          <w:spacing w:val="-8"/>
          <w:sz w:val="24"/>
        </w:rPr>
        <w:t xml:space="preserve"> </w:t>
      </w:r>
      <w:r>
        <w:rPr>
          <w:rFonts w:ascii="Times New Roman;Times;serif" w:hAnsi="Times New Roman;Times;serif"/>
          <w:spacing w:val="-2"/>
          <w:sz w:val="24"/>
        </w:rPr>
        <w:t>Consulting</w:t>
      </w:r>
      <w:r>
        <w:rPr>
          <w:rFonts w:ascii="Times New Roman;Times;serif" w:hAnsi="Times New Roman;Times;serif"/>
          <w:spacing w:val="-7"/>
          <w:sz w:val="24"/>
        </w:rPr>
        <w:t xml:space="preserve"> </w:t>
      </w:r>
      <w:r>
        <w:rPr>
          <w:rFonts w:ascii="Times New Roman;Times;serif" w:hAnsi="Times New Roman;Times;serif"/>
          <w:spacing w:val="-2"/>
          <w:sz w:val="24"/>
        </w:rPr>
        <w:t>Agreement</w:t>
      </w:r>
      <w:r>
        <w:rPr>
          <w:rFonts w:ascii="Times New Roman;Times;serif" w:hAnsi="Times New Roman;Times;serif"/>
          <w:spacing w:val="-11"/>
          <w:sz w:val="24"/>
        </w:rPr>
        <w:t xml:space="preserve"> </w:t>
      </w:r>
      <w:r>
        <w:rPr>
          <w:rFonts w:ascii="Times New Roman;Times;serif" w:hAnsi="Times New Roman;Times;serif"/>
          <w:spacing w:val="-2"/>
          <w:sz w:val="24"/>
        </w:rPr>
        <w:t>to</w:t>
      </w:r>
      <w:r>
        <w:rPr>
          <w:rFonts w:ascii="Times New Roman;Times;serif" w:hAnsi="Times New Roman;Times;serif"/>
          <w:spacing w:val="-6"/>
          <w:sz w:val="24"/>
        </w:rPr>
        <w:t xml:space="preserve"> </w:t>
      </w:r>
      <w:r>
        <w:rPr>
          <w:rFonts w:ascii="Times New Roman;Times;serif" w:hAnsi="Times New Roman;Times;serif"/>
          <w:spacing w:val="-2"/>
          <w:sz w:val="24"/>
        </w:rPr>
        <w:t>be</w:t>
      </w:r>
      <w:r>
        <w:rPr>
          <w:rFonts w:ascii="Times New Roman;Times;serif" w:hAnsi="Times New Roman;Times;serif"/>
          <w:spacing w:val="-12"/>
          <w:sz w:val="24"/>
        </w:rPr>
        <w:t xml:space="preserve"> </w:t>
      </w:r>
      <w:r>
        <w:rPr>
          <w:rFonts w:ascii="Times New Roman;Times;serif" w:hAnsi="Times New Roman;Times;serif"/>
          <w:spacing w:val="-2"/>
          <w:sz w:val="24"/>
        </w:rPr>
        <w:t>executed</w:t>
      </w:r>
      <w:r>
        <w:rPr>
          <w:rFonts w:ascii="Times New Roman;Times;serif" w:hAnsi="Times New Roman;Times;serif"/>
          <w:spacing w:val="-7"/>
          <w:sz w:val="24"/>
        </w:rPr>
        <w:t xml:space="preserve"> </w:t>
      </w:r>
      <w:r>
        <w:rPr>
          <w:rFonts w:ascii="Times New Roman;Times;serif" w:hAnsi="Times New Roman;Times;serif"/>
          <w:spacing w:val="-2"/>
          <w:sz w:val="24"/>
        </w:rPr>
        <w:t xml:space="preserve">by </w:t>
      </w:r>
      <w:r>
        <w:rPr>
          <w:rFonts w:ascii="Times New Roman;Times;serif" w:hAnsi="Times New Roman;Times;serif"/>
          <w:sz w:val="24"/>
        </w:rPr>
        <w:t>their duly authorized representative.</w:t>
      </w:r>
    </w:p>
    <w:p>
      <w:pPr>
        <w:pStyle w:val="TextBody"/>
        <w:bidi w:val="0"/>
        <w:spacing w:before="274" w:after="0"/>
        <w:ind w:left="0" w:right="0" w:hanging="0"/>
        <w:jc w:val="left"/>
        <w:rPr>
          <w:rFonts w:ascii="Times New Roman;Times;serif" w:hAnsi="Times New Roman;Times;serif"/>
          <w:b/>
          <w:sz w:val="24"/>
        </w:rPr>
      </w:pPr>
      <w:r>
        <w:rPr>
          <w:rFonts w:ascii="Times New Roman;Times;serif" w:hAnsi="Times New Roman;Times;serif"/>
          <w:b/>
          <w:smallCaps/>
          <w:spacing w:val="-2"/>
          <w:sz w:val="24"/>
        </w:rPr>
        <w:t>Bicycle</w:t>
      </w:r>
      <w:r>
        <w:rPr>
          <w:rFonts w:ascii="Times New Roman;Times;serif" w:hAnsi="Times New Roman;Times;serif"/>
          <w:b/>
          <w:smallCaps/>
          <w:spacing w:val="-4"/>
          <w:sz w:val="24"/>
        </w:rPr>
        <w:t xml:space="preserve"> </w:t>
      </w:r>
      <w:r>
        <w:rPr>
          <w:rFonts w:ascii="Times New Roman;Times;serif" w:hAnsi="Times New Roman;Times;serif"/>
          <w:b/>
          <w:smallCaps/>
          <w:spacing w:val="-2"/>
          <w:sz w:val="24"/>
        </w:rPr>
        <w:t>Therapeutics</w:t>
      </w:r>
      <w:r>
        <w:rPr>
          <w:rFonts w:ascii="Times New Roman;Times;serif" w:hAnsi="Times New Roman;Times;serif"/>
          <w:b/>
          <w:smallCaps/>
          <w:spacing w:val="-4"/>
          <w:sz w:val="24"/>
        </w:rPr>
        <w:t xml:space="preserve"> Inc.</w:t>
      </w:r>
    </w:p>
    <w:p>
      <w:pPr>
        <w:pStyle w:val="TextBody"/>
        <w:bidi w:val="0"/>
        <w:spacing w:before="57" w:after="0"/>
        <w:ind w:left="0" w:right="0" w:hanging="0"/>
        <w:jc w:val="left"/>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pacing w:val="-5"/>
          <w:sz w:val="24"/>
        </w:rPr>
        <w:t>By:</w:t>
      </w:r>
      <w:r>
        <w:rPr>
          <w:rFonts w:ascii="Times New Roman;Times;serif" w:hAnsi="Times New Roman;Times;serif"/>
          <w:spacing w:val="-5"/>
          <w:sz w:val="24"/>
          <w:u w:val="single"/>
        </w:rPr>
        <w:t xml:space="preserve"> /s/ Travis Thompson</w:t>
      </w:r>
      <w:r>
        <w:rPr>
          <w:rFonts w:ascii="Times New Roman;Times;serif" w:hAnsi="Times New Roman;Times;serif"/>
          <w:sz w:val="24"/>
          <w:u w:val="single"/>
        </w:rPr>
        <w:t>​ ​</w:t>
      </w:r>
    </w:p>
    <w:p>
      <w:pPr>
        <w:pStyle w:val="TextBody"/>
        <w:bidi w:val="0"/>
        <w:spacing w:before="158" w:after="0"/>
        <w:ind w:left="1225" w:right="0" w:hanging="0"/>
        <w:jc w:val="left"/>
        <w:rPr>
          <w:rFonts w:ascii="Times New Roman;Times;serif" w:hAnsi="Times New Roman;Times;serif"/>
          <w:sz w:val="20"/>
        </w:rPr>
      </w:pPr>
      <w:r>
        <w:rPr>
          <w:rFonts w:ascii="Times New Roman;Times;serif" w:hAnsi="Times New Roman;Times;serif"/>
          <w:sz w:val="20"/>
        </w:rPr>
        <w:t>Travis</w:t>
      </w:r>
      <w:r>
        <w:rPr>
          <w:rFonts w:ascii="Times New Roman;Times;serif" w:hAnsi="Times New Roman;Times;serif"/>
          <w:spacing w:val="-1"/>
          <w:sz w:val="20"/>
        </w:rPr>
        <w:t xml:space="preserve"> </w:t>
      </w:r>
      <w:r>
        <w:rPr>
          <w:rFonts w:ascii="Times New Roman;Times;serif" w:hAnsi="Times New Roman;Times;serif"/>
          <w:spacing w:val="-2"/>
          <w:sz w:val="20"/>
        </w:rPr>
        <w:t>Thompson</w:t>
      </w:r>
    </w:p>
    <w:p>
      <w:pPr>
        <w:pStyle w:val="TextBody"/>
        <w:bidi w:val="0"/>
        <w:jc w:val="left"/>
        <w:rPr/>
      </w:pPr>
      <w:r>
        <w:rPr/>
        <w:drawing>
          <wp:inline distT="0" distB="0" distL="0" distR="0">
            <wp:extent cx="3018790" cy="14605"/>
            <wp:effectExtent l="0" t="0" r="0" b="0"/>
            <wp:docPr id="31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1" descr=""/>
                    <pic:cNvPicPr>
                      <a:picLocks noChangeAspect="1" noChangeArrowheads="1"/>
                    </pic:cNvPicPr>
                  </pic:nvPicPr>
                  <pic:blipFill>
                    <a:blip r:embed="rId3"/>
                    <a:stretch>
                      <a:fillRect/>
                    </a:stretch>
                  </pic:blipFill>
                  <pic:spPr bwMode="auto">
                    <a:xfrm>
                      <a:off x="0" y="0"/>
                      <a:ext cx="3018790" cy="14605"/>
                    </a:xfrm>
                    <a:prstGeom prst="rect">
                      <a:avLst/>
                    </a:prstGeom>
                  </pic:spPr>
                </pic:pic>
              </a:graphicData>
            </a:graphic>
          </wp:inline>
        </w:drawing>
      </w:r>
    </w:p>
    <w:p>
      <w:pPr>
        <w:pStyle w:val="TextBody"/>
        <w:bidi w:val="0"/>
        <w:spacing w:before="8" w:after="0"/>
        <w:ind w:left="0" w:right="0" w:hanging="0"/>
        <w:jc w:val="left"/>
        <w:rPr/>
      </w:pPr>
      <w:r>
        <w:rPr/>
        <w:t>​</w:t>
      </w:r>
    </w:p>
    <w:p>
      <w:pPr>
        <w:pStyle w:val="TextBody"/>
        <w:bidi w:val="0"/>
        <w:spacing w:before="16" w:after="0"/>
        <w:ind w:left="1441" w:right="0" w:hanging="0"/>
        <w:jc w:val="left"/>
        <w:rPr>
          <w:rFonts w:ascii="Times New Roman;Times;serif" w:hAnsi="Times New Roman;Times;serif"/>
          <w:sz w:val="24"/>
        </w:rPr>
      </w:pPr>
      <w:r>
        <w:rPr>
          <w:rFonts w:ascii="Times New Roman;Times;serif" w:hAnsi="Times New Roman;Times;serif"/>
          <w:spacing w:val="-2"/>
          <w:sz w:val="24"/>
        </w:rPr>
        <w:t>(Printed</w:t>
      </w:r>
      <w:r>
        <w:rPr>
          <w:rFonts w:ascii="Times New Roman;Times;serif" w:hAnsi="Times New Roman;Times;serif"/>
          <w:spacing w:val="-4"/>
          <w:sz w:val="24"/>
        </w:rPr>
        <w:t xml:space="preserve"> </w:t>
      </w:r>
      <w:r>
        <w:rPr>
          <w:rFonts w:ascii="Times New Roman;Times;serif" w:hAnsi="Times New Roman;Times;serif"/>
          <w:spacing w:val="-2"/>
          <w:sz w:val="24"/>
        </w:rPr>
        <w:t>Name)</w:t>
      </w:r>
    </w:p>
    <w:p>
      <w:pPr>
        <w:pStyle w:val="TextBody"/>
        <w:bidi w:val="0"/>
        <w:spacing w:before="2" w:after="0"/>
        <w:ind w:left="0" w:right="0" w:hanging="0"/>
        <w:jc w:val="left"/>
        <w:rPr/>
      </w:pPr>
      <w:r>
        <w:rPr/>
        <w:t>​</w:t>
      </w:r>
    </w:p>
    <w:p>
      <w:pPr>
        <w:pStyle w:val="TextBody"/>
        <w:bidi w:val="0"/>
        <w:spacing w:before="0" w:after="0"/>
        <w:ind w:left="0" w:right="0" w:hanging="0"/>
        <w:jc w:val="left"/>
        <w:rPr/>
      </w:pPr>
      <w:r>
        <w:rPr/>
        <w:t>​</w:t>
      </w:r>
    </w:p>
    <w:p>
      <w:pPr>
        <w:pStyle w:val="TextBody"/>
        <w:bidi w:val="0"/>
        <w:spacing w:before="90" w:after="0"/>
        <w:ind w:left="0" w:right="0" w:hanging="0"/>
        <w:jc w:val="left"/>
        <w:rPr>
          <w:rFonts w:ascii="Times New Roman;Times;serif" w:hAnsi="Times New Roman;Times;serif"/>
          <w:spacing w:val="-4"/>
          <w:sz w:val="24"/>
        </w:rPr>
      </w:pPr>
      <w:r>
        <w:rPr>
          <w:rFonts w:ascii="Times New Roman;Times;serif" w:hAnsi="Times New Roman;Times;serif"/>
          <w:spacing w:val="-4"/>
          <w:sz w:val="24"/>
        </w:rPr>
        <w:t>Title:</w:t>
      </w:r>
    </w:p>
    <w:p>
      <w:pPr>
        <w:pStyle w:val="TextBody"/>
        <w:bidi w:val="0"/>
        <w:spacing w:before="132" w:after="0"/>
        <w:ind w:left="0" w:right="0" w:hanging="0"/>
        <w:jc w:val="left"/>
        <w:rPr>
          <w:rFonts w:ascii="Arial;Helvetica;sans-serif" w:hAnsi="Arial;Helvetica;sans-serif"/>
          <w:spacing w:val="-5"/>
          <w:sz w:val="18"/>
        </w:rPr>
      </w:pPr>
      <w:r>
        <w:rPr>
          <w:rFonts w:ascii="Arial;Helvetica;sans-serif" w:hAnsi="Arial;Helvetica;sans-serif"/>
          <w:spacing w:val="-5"/>
          <w:sz w:val="18"/>
        </w:rPr>
        <w:t>CFO</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161" w:after="0"/>
        <w:ind w:left="0" w:right="0" w:hanging="0"/>
        <w:jc w:val="left"/>
        <w:rPr/>
      </w:pPr>
      <w:r>
        <w:rPr/>
        <w:t>​</w:t>
      </w:r>
    </w:p>
    <w:p>
      <w:pPr>
        <w:pStyle w:val="TextBody"/>
        <w:bidi w:val="0"/>
        <w:spacing w:before="0" w:after="0"/>
        <w:ind w:left="0" w:right="0" w:hanging="0"/>
        <w:jc w:val="left"/>
        <w:rPr>
          <w:rFonts w:ascii="Times New Roman;Times;serif" w:hAnsi="Times New Roman;Times;serif"/>
          <w:b/>
          <w:smallCaps/>
          <w:spacing w:val="-2"/>
          <w:sz w:val="24"/>
        </w:rPr>
      </w:pPr>
      <w:r>
        <w:rPr>
          <w:rFonts w:ascii="Times New Roman;Times;serif" w:hAnsi="Times New Roman;Times;serif"/>
          <w:b/>
          <w:smallCaps/>
          <w:spacing w:val="-2"/>
          <w:sz w:val="24"/>
        </w:rPr>
        <w:t>Consultant</w:t>
      </w:r>
    </w:p>
    <w:p>
      <w:pPr>
        <w:pStyle w:val="TextBody"/>
        <w:bidi w:val="0"/>
        <w:spacing w:before="58" w:after="0"/>
        <w:ind w:left="0" w:right="0" w:hanging="0"/>
        <w:jc w:val="left"/>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pacing w:val="-5"/>
          <w:sz w:val="24"/>
        </w:rPr>
        <w:t>By:</w:t>
      </w:r>
      <w:r>
        <w:rPr>
          <w:rFonts w:ascii="Times New Roman;Times;serif" w:hAnsi="Times New Roman;Times;serif"/>
          <w:spacing w:val="-5"/>
          <w:sz w:val="24"/>
          <w:u w:val="single"/>
        </w:rPr>
        <w:t xml:space="preserve"> /s/ Janice Bourque​ ​</w:t>
      </w:r>
      <w:r>
        <w:rPr>
          <w:rFonts w:ascii="Times New Roman;Times;serif" w:hAnsi="Times New Roman;Times;serif"/>
          <w:sz w:val="24"/>
          <w:u w:val="single"/>
        </w:rPr>
        <w:t>​ ​</w:t>
      </w:r>
    </w:p>
    <w:p>
      <w:pPr>
        <w:pStyle w:val="TextBody"/>
        <w:bidi w:val="0"/>
        <w:spacing w:before="0" w:after="0"/>
        <w:ind w:left="0" w:right="0" w:hanging="0"/>
        <w:jc w:val="left"/>
        <w:rPr/>
      </w:pPr>
      <w:r>
        <w:rPr/>
        <w:t>​</w:t>
      </w:r>
    </w:p>
    <w:p>
      <w:pPr>
        <w:pStyle w:val="TextBody"/>
        <w:bidi w:val="0"/>
        <w:jc w:val="left"/>
        <w:rPr/>
      </w:pPr>
      <w:r>
        <w:rPr/>
        <w:drawing>
          <wp:inline distT="0" distB="0" distL="0" distR="0">
            <wp:extent cx="3018790" cy="14605"/>
            <wp:effectExtent l="0" t="0" r="0" b="0"/>
            <wp:docPr id="31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2" descr=""/>
                    <pic:cNvPicPr>
                      <a:picLocks noChangeAspect="1" noChangeArrowheads="1"/>
                    </pic:cNvPicPr>
                  </pic:nvPicPr>
                  <pic:blipFill>
                    <a:blip r:embed="rId4"/>
                    <a:stretch>
                      <a:fillRect/>
                    </a:stretch>
                  </pic:blipFill>
                  <pic:spPr bwMode="auto">
                    <a:xfrm>
                      <a:off x="0" y="0"/>
                      <a:ext cx="3018790" cy="14605"/>
                    </a:xfrm>
                    <a:prstGeom prst="rect">
                      <a:avLst/>
                    </a:prstGeom>
                  </pic:spPr>
                </pic:pic>
              </a:graphicData>
            </a:graphic>
          </wp:inline>
        </w:drawing>
      </w:r>
    </w:p>
    <w:p>
      <w:pPr>
        <w:pStyle w:val="TextBody"/>
        <w:bidi w:val="0"/>
        <w:spacing w:before="40" w:after="0"/>
        <w:ind w:left="0" w:right="0" w:hanging="0"/>
        <w:jc w:val="left"/>
        <w:rPr>
          <w:rFonts w:ascii="Times New Roman;Times;serif" w:hAnsi="Times New Roman;Times;serif"/>
          <w:sz w:val="20"/>
        </w:rPr>
      </w:pPr>
      <w:r>
        <w:rPr>
          <w:rFonts w:ascii="Times New Roman;Times;serif" w:hAnsi="Times New Roman;Times;serif"/>
          <w:sz w:val="20"/>
        </w:rPr>
        <w:t>Janice Bourque</w:t>
      </w:r>
    </w:p>
    <w:p>
      <w:pPr>
        <w:pStyle w:val="TextBody"/>
        <w:bidi w:val="0"/>
        <w:spacing w:before="16" w:after="0"/>
        <w:ind w:left="1441" w:right="0" w:hanging="0"/>
        <w:jc w:val="left"/>
        <w:rPr>
          <w:rFonts w:ascii="Times New Roman;Times;serif" w:hAnsi="Times New Roman;Times;serif"/>
          <w:sz w:val="24"/>
        </w:rPr>
      </w:pPr>
      <w:r>
        <w:rPr>
          <w:rFonts w:ascii="Times New Roman;Times;serif" w:hAnsi="Times New Roman;Times;serif"/>
          <w:spacing w:val="-2"/>
          <w:sz w:val="24"/>
        </w:rPr>
        <w:t>(Printed</w:t>
      </w:r>
      <w:r>
        <w:rPr>
          <w:rFonts w:ascii="Times New Roman;Times;serif" w:hAnsi="Times New Roman;Times;serif"/>
          <w:spacing w:val="-4"/>
          <w:sz w:val="24"/>
        </w:rPr>
        <w:t xml:space="preserve"> </w:t>
      </w:r>
      <w:r>
        <w:rPr>
          <w:rFonts w:ascii="Times New Roman;Times;serif" w:hAnsi="Times New Roman;Times;serif"/>
          <w:spacing w:val="-2"/>
          <w:sz w:val="24"/>
        </w:rPr>
        <w:t>Name)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val="false"/>
          <w:i w:val="false"/>
          <w:caps w:val="false"/>
          <w:smallCaps w:val="false"/>
          <w:spacing w:val="-2"/>
          <w:sz w:val="24"/>
        </w:rPr>
      </w:pPr>
      <w:r>
        <w:rPr>
          <w:rFonts w:ascii="Times New Roman;Times;serif" w:hAnsi="Times New Roman;Times;serif"/>
          <w:b w:val="false"/>
          <w:i w:val="false"/>
          <w:caps w:val="false"/>
          <w:smallCaps w:val="false"/>
          <w:spacing w:val="-2"/>
          <w:sz w:val="24"/>
        </w:rPr>
        <w:t>Address:</w:t>
      </w:r>
    </w:p>
    <w:p>
      <w:pPr>
        <w:pStyle w:val="TextBody"/>
        <w:bidi w:val="0"/>
        <w:spacing w:before="3"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w:t>
      </w:r>
    </w:p>
    <w:p>
      <w:pPr>
        <w:pStyle w:val="TextBody"/>
        <w:bidi w:val="0"/>
        <w:spacing w:lineRule="auto" w:line="16"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lineRule="auto" w:line="571" w:before="77" w:after="0"/>
        <w:ind w:left="3483" w:right="3846" w:hanging="0"/>
        <w:jc w:val="center"/>
        <w:rPr>
          <w:rFonts w:ascii="Times New Roman;Times;serif" w:hAnsi="Times New Roman;Times;serif"/>
          <w:b/>
          <w:sz w:val="24"/>
        </w:rPr>
      </w:pPr>
      <w:r>
        <w:rPr>
          <w:rFonts w:ascii="Times New Roman;Times;serif" w:hAnsi="Times New Roman;Times;serif"/>
          <w:b/>
          <w:sz w:val="24"/>
        </w:rPr>
        <w:t>EXHIBIT</w:t>
      </w:r>
      <w:r>
        <w:rPr>
          <w:rFonts w:ascii="Times New Roman;Times;serif" w:hAnsi="Times New Roman;Times;serif"/>
          <w:b/>
          <w:spacing w:val="-15"/>
          <w:sz w:val="24"/>
        </w:rPr>
        <w:t xml:space="preserve"> </w:t>
      </w:r>
      <w:r>
        <w:rPr>
          <w:rFonts w:ascii="Times New Roman;Times;serif" w:hAnsi="Times New Roman;Times;serif"/>
          <w:b/>
          <w:sz w:val="24"/>
        </w:rPr>
        <w:t xml:space="preserve">A </w:t>
      </w:r>
      <w:r>
        <w:rPr>
          <w:rFonts w:ascii="Times New Roman;Times;serif" w:hAnsi="Times New Roman;Times;serif"/>
          <w:b/>
          <w:spacing w:val="-2"/>
          <w:sz w:val="24"/>
        </w:rPr>
        <w:t>SERVICES</w:t>
      </w:r>
    </w:p>
    <w:p>
      <w:pPr>
        <w:pStyle w:val="TextBody"/>
        <w:bidi w:val="0"/>
        <w:spacing w:before="1" w:after="0"/>
        <w:ind w:left="0" w:right="0" w:hanging="0"/>
        <w:jc w:val="left"/>
        <w:rPr>
          <w:rFonts w:ascii="Times New Roman;Times;serif" w:hAnsi="Times New Roman;Times;serif"/>
          <w:sz w:val="22"/>
        </w:rPr>
      </w:pPr>
      <w:r>
        <w:rPr>
          <w:rFonts w:ascii="Times New Roman;Times;serif" w:hAnsi="Times New Roman;Times;serif"/>
          <w:b/>
          <w:sz w:val="24"/>
        </w:rPr>
        <w:t>Nature of</w:t>
      </w:r>
      <w:r>
        <w:rPr>
          <w:rFonts w:ascii="Times New Roman;Times;serif" w:hAnsi="Times New Roman;Times;serif"/>
          <w:spacing w:val="3"/>
          <w:sz w:val="22"/>
        </w:rPr>
        <w:t xml:space="preserve"> </w:t>
      </w:r>
      <w:r>
        <w:rPr>
          <w:rFonts w:ascii="Times New Roman;Times;serif" w:hAnsi="Times New Roman;Times;serif"/>
          <w:b/>
          <w:spacing w:val="-2"/>
          <w:sz w:val="24"/>
        </w:rPr>
        <w:t>Work</w:t>
      </w:r>
      <w:r>
        <w:rPr>
          <w:rFonts w:ascii="Times New Roman;Times;serif" w:hAnsi="Times New Roman;Times;serif"/>
          <w:spacing w:val="-2"/>
          <w:sz w:val="24"/>
        </w:rPr>
        <w:t>:</w:t>
      </w:r>
    </w:p>
    <w:p>
      <w:pPr>
        <w:pStyle w:val="TextBody"/>
        <w:bidi w:val="0"/>
        <w:spacing w:lineRule="auto" w:line="288" w:before="276" w:after="0"/>
        <w:ind w:left="0" w:right="362" w:hanging="0"/>
        <w:jc w:val="both"/>
        <w:rPr>
          <w:rFonts w:ascii="Times New Roman;Times;serif" w:hAnsi="Times New Roman;Times;serif"/>
          <w:sz w:val="24"/>
        </w:rPr>
      </w:pPr>
      <w:r>
        <w:rPr>
          <w:rFonts w:ascii="Times New Roman;Times;serif" w:hAnsi="Times New Roman;Times;serif"/>
          <w:sz w:val="24"/>
        </w:rPr>
        <w:t>Consultant will be responsible for providing strategic advice and consulting as requested by the Company in any area of Consultant’s expertise.</w:t>
      </w:r>
      <w:r>
        <w:rPr>
          <w:rFonts w:ascii="Times New Roman;Times;serif" w:hAnsi="Times New Roman;Times;serif"/>
          <w:spacing w:val="40"/>
          <w:sz w:val="24"/>
        </w:rPr>
        <w:t xml:space="preserve"> </w:t>
      </w:r>
      <w:r>
        <w:rPr>
          <w:rFonts w:ascii="Times New Roman;Times;serif" w:hAnsi="Times New Roman;Times;serif"/>
          <w:sz w:val="24"/>
        </w:rPr>
        <w:t>Consultant will exercise the highest degree of professionalism</w:t>
      </w:r>
      <w:r>
        <w:rPr>
          <w:rFonts w:ascii="Times New Roman;Times;serif" w:hAnsi="Times New Roman;Times;serif"/>
          <w:spacing w:val="-1"/>
          <w:sz w:val="24"/>
        </w:rPr>
        <w:t xml:space="preserve"> </w:t>
      </w:r>
      <w:r>
        <w:rPr>
          <w:rFonts w:ascii="Times New Roman;Times;serif" w:hAnsi="Times New Roman;Times;serif"/>
          <w:sz w:val="24"/>
        </w:rPr>
        <w:t>and</w:t>
      </w:r>
      <w:r>
        <w:rPr>
          <w:rFonts w:ascii="Times New Roman;Times;serif" w:hAnsi="Times New Roman;Times;serif"/>
          <w:spacing w:val="-1"/>
          <w:sz w:val="24"/>
        </w:rPr>
        <w:t xml:space="preserve"> </w:t>
      </w:r>
      <w:r>
        <w:rPr>
          <w:rFonts w:ascii="Times New Roman;Times;serif" w:hAnsi="Times New Roman;Times;serif"/>
          <w:sz w:val="24"/>
        </w:rPr>
        <w:t>utilize</w:t>
      </w:r>
      <w:r>
        <w:rPr>
          <w:rFonts w:ascii="Times New Roman;Times;serif" w:hAnsi="Times New Roman;Times;serif"/>
          <w:spacing w:val="1"/>
          <w:sz w:val="24"/>
        </w:rPr>
        <w:t xml:space="preserve"> </w:t>
      </w:r>
      <w:r>
        <w:rPr>
          <w:rFonts w:ascii="Times New Roman;Times;serif" w:hAnsi="Times New Roman;Times;serif"/>
          <w:sz w:val="24"/>
        </w:rPr>
        <w:t>Consultant’s</w:t>
      </w:r>
      <w:r>
        <w:rPr>
          <w:rFonts w:ascii="Times New Roman;Times;serif" w:hAnsi="Times New Roman;Times;serif"/>
          <w:spacing w:val="-2"/>
          <w:sz w:val="24"/>
        </w:rPr>
        <w:t xml:space="preserve"> </w:t>
      </w:r>
      <w:r>
        <w:rPr>
          <w:rFonts w:ascii="Times New Roman;Times;serif" w:hAnsi="Times New Roman;Times;serif"/>
          <w:sz w:val="24"/>
        </w:rPr>
        <w:t>expertise</w:t>
      </w:r>
      <w:r>
        <w:rPr>
          <w:rFonts w:ascii="Times New Roman;Times;serif" w:hAnsi="Times New Roman;Times;serif"/>
          <w:spacing w:val="-7"/>
          <w:sz w:val="24"/>
        </w:rPr>
        <w:t xml:space="preserve"> </w:t>
      </w:r>
      <w:r>
        <w:rPr>
          <w:rFonts w:ascii="Times New Roman;Times;serif" w:hAnsi="Times New Roman;Times;serif"/>
          <w:sz w:val="24"/>
        </w:rPr>
        <w:t>and</w:t>
      </w:r>
      <w:r>
        <w:rPr>
          <w:rFonts w:ascii="Times New Roman;Times;serif" w:hAnsi="Times New Roman;Times;serif"/>
          <w:spacing w:val="-1"/>
          <w:sz w:val="24"/>
        </w:rPr>
        <w:t xml:space="preserve"> </w:t>
      </w:r>
      <w:r>
        <w:rPr>
          <w:rFonts w:ascii="Times New Roman;Times;serif" w:hAnsi="Times New Roman;Times;serif"/>
          <w:sz w:val="24"/>
        </w:rPr>
        <w:t>creative</w:t>
      </w:r>
      <w:r>
        <w:rPr>
          <w:rFonts w:ascii="Times New Roman;Times;serif" w:hAnsi="Times New Roman;Times;serif"/>
          <w:spacing w:val="-2"/>
          <w:sz w:val="24"/>
        </w:rPr>
        <w:t xml:space="preserve"> </w:t>
      </w:r>
      <w:r>
        <w:rPr>
          <w:rFonts w:ascii="Times New Roman;Times;serif" w:hAnsi="Times New Roman;Times;serif"/>
          <w:sz w:val="24"/>
        </w:rPr>
        <w:t>talents</w:t>
      </w:r>
      <w:r>
        <w:rPr>
          <w:rFonts w:ascii="Times New Roman;Times;serif" w:hAnsi="Times New Roman;Times;serif"/>
          <w:spacing w:val="-2"/>
          <w:sz w:val="24"/>
        </w:rPr>
        <w:t xml:space="preserve"> </w:t>
      </w:r>
      <w:r>
        <w:rPr>
          <w:rFonts w:ascii="Times New Roman;Times;serif" w:hAnsi="Times New Roman;Times;serif"/>
          <w:sz w:val="24"/>
        </w:rPr>
        <w:t>in</w:t>
      </w:r>
      <w:r>
        <w:rPr>
          <w:rFonts w:ascii="Times New Roman;Times;serif" w:hAnsi="Times New Roman;Times;serif"/>
          <w:spacing w:val="-6"/>
          <w:sz w:val="24"/>
        </w:rPr>
        <w:t xml:space="preserve"> </w:t>
      </w:r>
      <w:r>
        <w:rPr>
          <w:rFonts w:ascii="Times New Roman;Times;serif" w:hAnsi="Times New Roman;Times;serif"/>
          <w:sz w:val="24"/>
        </w:rPr>
        <w:t>performing</w:t>
      </w:r>
      <w:r>
        <w:rPr>
          <w:rFonts w:ascii="Times New Roman;Times;serif" w:hAnsi="Times New Roman;Times;serif"/>
          <w:spacing w:val="-6"/>
          <w:sz w:val="24"/>
        </w:rPr>
        <w:t xml:space="preserve"> </w:t>
      </w:r>
      <w:r>
        <w:rPr>
          <w:rFonts w:ascii="Times New Roman;Times;serif" w:hAnsi="Times New Roman;Times;serif"/>
          <w:sz w:val="24"/>
        </w:rPr>
        <w:t>the</w:t>
      </w:r>
      <w:r>
        <w:rPr>
          <w:rFonts w:ascii="Times New Roman;Times;serif" w:hAnsi="Times New Roman;Times;serif"/>
          <w:spacing w:val="-6"/>
          <w:sz w:val="24"/>
        </w:rPr>
        <w:t xml:space="preserve"> </w:t>
      </w:r>
      <w:r>
        <w:rPr>
          <w:rFonts w:ascii="Times New Roman;Times;serif" w:hAnsi="Times New Roman;Times;serif"/>
          <w:spacing w:val="-2"/>
          <w:sz w:val="24"/>
        </w:rPr>
        <w:t>Services.</w:t>
      </w:r>
    </w:p>
    <w:p>
      <w:pPr>
        <w:pStyle w:val="TextBody"/>
        <w:bidi w:val="0"/>
        <w:spacing w:before="229" w:after="0"/>
        <w:ind w:left="0" w:right="0" w:hanging="0"/>
        <w:jc w:val="both"/>
        <w:rPr>
          <w:rFonts w:ascii="Times New Roman;Times;serif" w:hAnsi="Times New Roman;Times;serif"/>
          <w:b/>
          <w:sz w:val="24"/>
        </w:rPr>
      </w:pPr>
      <w:r>
        <w:rPr>
          <w:rFonts w:ascii="Times New Roman;Times;serif" w:hAnsi="Times New Roman;Times;serif"/>
          <w:b/>
          <w:sz w:val="24"/>
        </w:rPr>
        <w:t>Compensation</w:t>
      </w:r>
      <w:r>
        <w:rPr>
          <w:rFonts w:ascii="Times New Roman;Times;serif" w:hAnsi="Times New Roman;Times;serif"/>
          <w:b/>
          <w:spacing w:val="1"/>
          <w:sz w:val="24"/>
        </w:rPr>
        <w:t xml:space="preserve"> </w:t>
      </w:r>
      <w:r>
        <w:rPr>
          <w:rFonts w:ascii="Times New Roman;Times;serif" w:hAnsi="Times New Roman;Times;serif"/>
          <w:b/>
          <w:sz w:val="24"/>
        </w:rPr>
        <w:t>and</w:t>
      </w:r>
      <w:r>
        <w:rPr>
          <w:rFonts w:ascii="Times New Roman;Times;serif" w:hAnsi="Times New Roman;Times;serif"/>
          <w:b/>
          <w:spacing w:val="-1"/>
          <w:sz w:val="24"/>
        </w:rPr>
        <w:t xml:space="preserve"> </w:t>
      </w:r>
      <w:r>
        <w:rPr>
          <w:rFonts w:ascii="Times New Roman;Times;serif" w:hAnsi="Times New Roman;Times;serif"/>
          <w:b/>
          <w:spacing w:val="-2"/>
          <w:sz w:val="24"/>
        </w:rPr>
        <w:t>Invoices</w:t>
      </w:r>
      <w:r>
        <w:rPr>
          <w:rFonts w:ascii="Times New Roman;Times;serif" w:hAnsi="Times New Roman;Times;serif"/>
          <w:b w:val="false"/>
          <w:spacing w:val="-2"/>
          <w:sz w:val="24"/>
        </w:rPr>
        <w:t>:</w:t>
      </w:r>
    </w:p>
    <w:p>
      <w:pPr>
        <w:pStyle w:val="TextBody"/>
        <w:bidi w:val="0"/>
        <w:spacing w:before="0" w:after="0"/>
        <w:ind w:left="0" w:right="0" w:hanging="0"/>
        <w:jc w:val="left"/>
        <w:rPr/>
      </w:pPr>
      <w:r>
        <w:rPr/>
        <w:t>​</w:t>
      </w:r>
    </w:p>
    <w:p>
      <w:pPr>
        <w:pStyle w:val="TextBody"/>
        <w:bidi w:val="0"/>
        <w:ind w:left="0" w:right="354" w:hanging="0"/>
        <w:jc w:val="both"/>
        <w:rPr>
          <w:rFonts w:ascii="Times New Roman;Times;serif" w:hAnsi="Times New Roman;Times;serif"/>
          <w:sz w:val="22"/>
        </w:rPr>
      </w:pPr>
      <w:r>
        <w:rPr>
          <w:rFonts w:ascii="Times New Roman;Times;serif" w:hAnsi="Times New Roman;Times;serif"/>
          <w:b/>
          <w:sz w:val="24"/>
        </w:rPr>
        <w:t>A.Consulting Fees</w:t>
      </w:r>
      <w:r>
        <w:rPr>
          <w:rFonts w:ascii="Times New Roman;Times;serif" w:hAnsi="Times New Roman;Times;serif"/>
          <w:sz w:val="24"/>
        </w:rPr>
        <w:t>.</w:t>
      </w:r>
      <w:r>
        <w:rPr>
          <w:rFonts w:ascii="Times New Roman;Times;serif" w:hAnsi="Times New Roman;Times;serif"/>
          <w:spacing w:val="40"/>
          <w:sz w:val="22"/>
        </w:rPr>
        <w:t xml:space="preserve"> </w:t>
      </w:r>
      <w:r>
        <w:rPr>
          <w:rFonts w:ascii="Times New Roman;Times;serif" w:hAnsi="Times New Roman;Times;serif"/>
          <w:sz w:val="24"/>
        </w:rPr>
        <w:t>During the term of the Agreement, Consultant shall be paid an annual fee of GBP 12,000 or equivalent in local currency. The fee is payable in 12 equal monthly installments, paid in arrears, provided that the amount of such payment shall be prorated for any portion of such month during which the Consultant was not serving.</w:t>
      </w:r>
    </w:p>
    <w:p>
      <w:pPr>
        <w:pStyle w:val="TextBody"/>
        <w:bidi w:val="0"/>
        <w:spacing w:before="3" w:after="0"/>
        <w:ind w:left="0" w:right="0" w:hanging="0"/>
        <w:jc w:val="left"/>
        <w:rPr/>
      </w:pPr>
      <w:r>
        <w:rPr/>
        <w:t>​</w:t>
      </w:r>
    </w:p>
    <w:p>
      <w:pPr>
        <w:pStyle w:val="TextBody"/>
        <w:bidi w:val="0"/>
        <w:spacing w:lineRule="auto" w:line="288"/>
        <w:ind w:left="0" w:right="353" w:hanging="0"/>
        <w:jc w:val="both"/>
        <w:rPr>
          <w:rFonts w:ascii="Times New Roman;Times;serif" w:hAnsi="Times New Roman;Times;serif"/>
          <w:sz w:val="22"/>
        </w:rPr>
      </w:pPr>
      <w:r>
        <w:rPr>
          <w:rFonts w:ascii="Times New Roman;Times;serif" w:hAnsi="Times New Roman;Times;serif"/>
          <w:b/>
          <w:sz w:val="24"/>
        </w:rPr>
        <w:t>B.Continuing Service</w:t>
      </w:r>
      <w:r>
        <w:rPr>
          <w:rFonts w:ascii="Times New Roman;Times;serif" w:hAnsi="Times New Roman;Times;serif"/>
          <w:spacing w:val="-2"/>
          <w:sz w:val="22"/>
        </w:rPr>
        <w:t xml:space="preserve"> </w:t>
      </w:r>
      <w:r>
        <w:rPr>
          <w:rFonts w:ascii="Times New Roman;Times;serif" w:hAnsi="Times New Roman;Times;serif"/>
          <w:b/>
          <w:sz w:val="24"/>
        </w:rPr>
        <w:t xml:space="preserve">Provider. </w:t>
      </w:r>
      <w:r>
        <w:rPr>
          <w:rFonts w:ascii="Times New Roman;Times;serif" w:hAnsi="Times New Roman;Times;serif"/>
          <w:sz w:val="24"/>
        </w:rPr>
        <w:t>The</w:t>
      </w:r>
      <w:r>
        <w:rPr>
          <w:rFonts w:ascii="Times New Roman;Times;serif" w:hAnsi="Times New Roman;Times;serif"/>
          <w:spacing w:val="-1"/>
          <w:sz w:val="22"/>
        </w:rPr>
        <w:t xml:space="preserve"> </w:t>
      </w:r>
      <w:r>
        <w:rPr>
          <w:rFonts w:ascii="Times New Roman;Times;serif" w:hAnsi="Times New Roman;Times;serif"/>
          <w:sz w:val="24"/>
        </w:rPr>
        <w:t>parties</w:t>
      </w:r>
      <w:r>
        <w:rPr>
          <w:rFonts w:ascii="Times New Roman;Times;serif" w:hAnsi="Times New Roman;Times;serif"/>
          <w:spacing w:val="-2"/>
          <w:sz w:val="22"/>
        </w:rPr>
        <w:t xml:space="preserve"> </w:t>
      </w:r>
      <w:r>
        <w:rPr>
          <w:rFonts w:ascii="Times New Roman;Times;serif" w:hAnsi="Times New Roman;Times;serif"/>
          <w:sz w:val="24"/>
        </w:rPr>
        <w:t>intend that during the term of this</w:t>
      </w:r>
      <w:r>
        <w:rPr>
          <w:rFonts w:ascii="Times New Roman;Times;serif" w:hAnsi="Times New Roman;Times;serif"/>
          <w:spacing w:val="-2"/>
          <w:sz w:val="22"/>
        </w:rPr>
        <w:t xml:space="preserve"> </w:t>
      </w:r>
      <w:r>
        <w:rPr>
          <w:rFonts w:ascii="Times New Roman;Times;serif" w:hAnsi="Times New Roman;Times;serif"/>
          <w:sz w:val="24"/>
        </w:rPr>
        <w:t>Agreement, Consultant</w:t>
      </w:r>
      <w:r>
        <w:rPr>
          <w:rFonts w:ascii="Times New Roman;Times;serif" w:hAnsi="Times New Roman;Times;serif"/>
          <w:spacing w:val="-12"/>
          <w:sz w:val="22"/>
        </w:rPr>
        <w:t xml:space="preserve"> </w:t>
      </w:r>
      <w:r>
        <w:rPr>
          <w:rFonts w:ascii="Times New Roman;Times;serif" w:hAnsi="Times New Roman;Times;serif"/>
          <w:sz w:val="24"/>
        </w:rPr>
        <w:t>shall</w:t>
      </w:r>
      <w:r>
        <w:rPr>
          <w:rFonts w:ascii="Times New Roman;Times;serif" w:hAnsi="Times New Roman;Times;serif"/>
          <w:spacing w:val="-11"/>
          <w:sz w:val="22"/>
        </w:rPr>
        <w:t xml:space="preserve"> </w:t>
      </w:r>
      <w:r>
        <w:rPr>
          <w:rFonts w:ascii="Times New Roman;Times;serif" w:hAnsi="Times New Roman;Times;serif"/>
          <w:sz w:val="24"/>
        </w:rPr>
        <w:t>be</w:t>
      </w:r>
      <w:r>
        <w:rPr>
          <w:rFonts w:ascii="Times New Roman;Times;serif" w:hAnsi="Times New Roman;Times;serif"/>
          <w:spacing w:val="-13"/>
          <w:sz w:val="22"/>
        </w:rPr>
        <w:t xml:space="preserve"> </w:t>
      </w:r>
      <w:r>
        <w:rPr>
          <w:rFonts w:ascii="Times New Roman;Times;serif" w:hAnsi="Times New Roman;Times;serif"/>
          <w:sz w:val="24"/>
        </w:rPr>
        <w:t>considered</w:t>
      </w:r>
      <w:r>
        <w:rPr>
          <w:rFonts w:ascii="Times New Roman;Times;serif" w:hAnsi="Times New Roman;Times;serif"/>
          <w:spacing w:val="-12"/>
          <w:sz w:val="22"/>
        </w:rPr>
        <w:t xml:space="preserve"> </w:t>
      </w:r>
      <w:r>
        <w:rPr>
          <w:rFonts w:ascii="Times New Roman;Times;serif" w:hAnsi="Times New Roman;Times;serif"/>
          <w:sz w:val="24"/>
        </w:rPr>
        <w:t>as</w:t>
      </w:r>
      <w:r>
        <w:rPr>
          <w:rFonts w:ascii="Times New Roman;Times;serif" w:hAnsi="Times New Roman;Times;serif"/>
          <w:spacing w:val="-14"/>
          <w:sz w:val="22"/>
        </w:rPr>
        <w:t xml:space="preserve"> </w:t>
      </w:r>
      <w:r>
        <w:rPr>
          <w:rFonts w:ascii="Times New Roman;Times;serif" w:hAnsi="Times New Roman;Times;serif"/>
          <w:sz w:val="24"/>
        </w:rPr>
        <w:t>a</w:t>
      </w:r>
      <w:r>
        <w:rPr>
          <w:rFonts w:ascii="Times New Roman;Times;serif" w:hAnsi="Times New Roman;Times;serif"/>
          <w:spacing w:val="-13"/>
          <w:sz w:val="22"/>
        </w:rPr>
        <w:t xml:space="preserve"> </w:t>
      </w:r>
      <w:r>
        <w:rPr>
          <w:rFonts w:ascii="Times New Roman;Times;serif" w:hAnsi="Times New Roman;Times;serif"/>
          <w:sz w:val="22"/>
        </w:rPr>
        <w:t>“</w:t>
      </w:r>
      <w:r>
        <w:rPr>
          <w:rFonts w:ascii="Times New Roman;Times;serif" w:hAnsi="Times New Roman;Times;serif"/>
          <w:sz w:val="24"/>
        </w:rPr>
        <w:t>service</w:t>
      </w:r>
      <w:r>
        <w:rPr>
          <w:rFonts w:ascii="Times New Roman;Times;serif" w:hAnsi="Times New Roman;Times;serif"/>
          <w:spacing w:val="-13"/>
          <w:sz w:val="22"/>
        </w:rPr>
        <w:t xml:space="preserve"> </w:t>
      </w:r>
      <w:r>
        <w:rPr>
          <w:rFonts w:ascii="Times New Roman;Times;serif" w:hAnsi="Times New Roman;Times;serif"/>
          <w:sz w:val="24"/>
        </w:rPr>
        <w:t>provider”</w:t>
      </w:r>
      <w:r>
        <w:rPr>
          <w:rFonts w:ascii="Times New Roman;Times;serif" w:hAnsi="Times New Roman;Times;serif"/>
          <w:spacing w:val="-13"/>
          <w:sz w:val="22"/>
        </w:rPr>
        <w:t xml:space="preserve"> </w:t>
      </w:r>
      <w:r>
        <w:rPr>
          <w:rFonts w:ascii="Times New Roman;Times;serif" w:hAnsi="Times New Roman;Times;serif"/>
          <w:sz w:val="24"/>
        </w:rPr>
        <w:t>for</w:t>
      </w:r>
      <w:r>
        <w:rPr>
          <w:rFonts w:ascii="Times New Roman;Times;serif" w:hAnsi="Times New Roman;Times;serif"/>
          <w:spacing w:val="-15"/>
          <w:sz w:val="22"/>
        </w:rPr>
        <w:t xml:space="preserve"> </w:t>
      </w:r>
      <w:r>
        <w:rPr>
          <w:rFonts w:ascii="Times New Roman;Times;serif" w:hAnsi="Times New Roman;Times;serif"/>
          <w:sz w:val="24"/>
        </w:rPr>
        <w:t>the</w:t>
      </w:r>
      <w:r>
        <w:rPr>
          <w:rFonts w:ascii="Times New Roman;Times;serif" w:hAnsi="Times New Roman;Times;serif"/>
          <w:spacing w:val="-15"/>
          <w:sz w:val="22"/>
        </w:rPr>
        <w:t xml:space="preserve"> </w:t>
      </w:r>
      <w:r>
        <w:rPr>
          <w:rFonts w:ascii="Times New Roman;Times;serif" w:hAnsi="Times New Roman;Times;serif"/>
          <w:sz w:val="24"/>
        </w:rPr>
        <w:t>purposes</w:t>
      </w:r>
      <w:r>
        <w:rPr>
          <w:rFonts w:ascii="Times New Roman;Times;serif" w:hAnsi="Times New Roman;Times;serif"/>
          <w:spacing w:val="-14"/>
          <w:sz w:val="22"/>
        </w:rPr>
        <w:t xml:space="preserve"> </w:t>
      </w:r>
      <w:r>
        <w:rPr>
          <w:rFonts w:ascii="Times New Roman;Times;serif" w:hAnsi="Times New Roman;Times;serif"/>
          <w:sz w:val="24"/>
        </w:rPr>
        <w:t>of</w:t>
      </w:r>
      <w:r>
        <w:rPr>
          <w:rFonts w:ascii="Times New Roman;Times;serif" w:hAnsi="Times New Roman;Times;serif"/>
          <w:spacing w:val="-15"/>
          <w:sz w:val="22"/>
        </w:rPr>
        <w:t xml:space="preserve"> </w:t>
      </w:r>
      <w:r>
        <w:rPr>
          <w:rFonts w:ascii="Times New Roman;Times;serif" w:hAnsi="Times New Roman;Times;serif"/>
          <w:sz w:val="24"/>
        </w:rPr>
        <w:t>the</w:t>
      </w:r>
      <w:r>
        <w:rPr>
          <w:rFonts w:ascii="Times New Roman;Times;serif" w:hAnsi="Times New Roman;Times;serif"/>
          <w:spacing w:val="-12"/>
          <w:sz w:val="22"/>
        </w:rPr>
        <w:t xml:space="preserve"> </w:t>
      </w:r>
      <w:r>
        <w:rPr>
          <w:rFonts w:ascii="Times New Roman;Times;serif" w:hAnsi="Times New Roman;Times;serif"/>
          <w:sz w:val="24"/>
        </w:rPr>
        <w:t>Bicycle</w:t>
      </w:r>
      <w:r>
        <w:rPr>
          <w:rFonts w:ascii="Times New Roman;Times;serif" w:hAnsi="Times New Roman;Times;serif"/>
          <w:spacing w:val="-12"/>
          <w:sz w:val="22"/>
        </w:rPr>
        <w:t xml:space="preserve"> </w:t>
      </w:r>
      <w:r>
        <w:rPr>
          <w:rFonts w:ascii="Times New Roman;Times;serif" w:hAnsi="Times New Roman;Times;serif"/>
          <w:sz w:val="24"/>
        </w:rPr>
        <w:t>Therapeutics plc 2020 Equity Incentive Plan and other relevant plans, as applicable.</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w:t>
      </w:r>
    </w:p>
    <w:p>
      <w:pPr>
        <w:pStyle w:val="TextBody"/>
        <w:bidi w:val="0"/>
        <w:spacing w:lineRule="auto" w:line="16" w:before="0" w:after="0"/>
        <w:ind w:left="0" w:right="0" w:hanging="0"/>
        <w:jc w:val="left"/>
        <w:rPr>
          <w:rFonts w:ascii="Times New Roman;Times;serif" w:hAnsi="Times New Roman;Times;serif"/>
          <w:sz w:val="20"/>
        </w:rPr>
      </w:pPr>
      <w:r>
        <w:rPr>
          <w:rFonts w:ascii="Times New Roman;Times;serif" w:hAnsi="Times New Roman;Times;serif"/>
          <w:sz w:val="20"/>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042" w:name="bcyc-20260630xex31d1.htm"/>
      <w:bookmarkStart w:id="1043" w:name="ksbcyc20260630xex31d1"/>
      <w:bookmarkEnd w:id="1042"/>
      <w:bookmarkEnd w:id="1043"/>
      <w:r>
        <w:rPr>
          <w:rFonts w:ascii="Times New Roman;Times;serif" w:hAnsi="Times New Roman;Times;serif"/>
          <w:b/>
          <w:sz w:val="20"/>
        </w:rPr>
        <w:t>Exhibit 31.1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 Pursuant to Rules 13a-14(a) and 15d-14(a) under the Securities Exchange Act of 1934, as Adopted Pursuant to Section 302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Kevin Lee, certify that:</w:t>
      </w:r>
    </w:p>
    <w:tbl>
      <w:tblPr>
        <w:tblW w:w="6730" w:type="dxa"/>
        <w:jc w:val="left"/>
        <w:tblInd w:w="0" w:type="dxa"/>
        <w:tblLayout w:type="fixed"/>
        <w:tblCellMar>
          <w:top w:w="0" w:type="dxa"/>
          <w:left w:w="0" w:type="dxa"/>
          <w:bottom w:w="0" w:type="dxa"/>
          <w:right w:w="0" w:type="dxa"/>
        </w:tblCellMar>
      </w:tblPr>
      <w:tblGrid>
        <w:gridCol w:w="170"/>
        <w:gridCol w:w="656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Bicycle Therapeutics plc;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tbl>
      <w:tblPr>
        <w:tblW w:w="4593" w:type="dxa"/>
        <w:jc w:val="center"/>
        <w:tblInd w:w="0" w:type="dxa"/>
        <w:tblLayout w:type="fixed"/>
        <w:tblCellMar>
          <w:top w:w="0" w:type="dxa"/>
          <w:left w:w="0" w:type="dxa"/>
          <w:bottom w:w="0" w:type="dxa"/>
          <w:right w:w="0" w:type="dxa"/>
        </w:tblCellMar>
      </w:tblPr>
      <w:tblGrid>
        <w:gridCol w:w="1711"/>
        <w:gridCol w:w="406"/>
        <w:gridCol w:w="2476"/>
      </w:tblGrid>
      <w:tr>
        <w:trPr/>
        <w:tc>
          <w:tcPr>
            <w:tcW w:w="17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pPr>
            <w:r>
              <w:rPr/>
              <w:t>​</w:t>
            </w:r>
          </w:p>
        </w:tc>
      </w:tr>
      <w:tr>
        <w:trPr/>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July 30,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Kevin Lee</w:t>
            </w:r>
          </w:p>
        </w:tc>
      </w:tr>
      <w:tr>
        <w:trPr/>
        <w:tc>
          <w:tcPr>
            <w:tcW w:w="17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Kevin Lee, Ph.D., MBA</w:t>
            </w:r>
          </w:p>
        </w:tc>
      </w:tr>
      <w:tr>
        <w:trPr/>
        <w:tc>
          <w:tcPr>
            <w:tcW w:w="17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sz w:val="20"/>
        </w:rPr>
      </w:pPr>
      <w:bookmarkStart w:id="1044" w:name="bcyc-20260630xex31d2.htm"/>
      <w:bookmarkStart w:id="1045" w:name="ksbcyc20260630xex31d2"/>
      <w:bookmarkEnd w:id="1044"/>
      <w:bookmarkEnd w:id="1045"/>
      <w:r>
        <w:rPr>
          <w:rFonts w:ascii="Times New Roman;Times;serif" w:hAnsi="Times New Roman;Times;serif"/>
          <w:b/>
          <w:sz w:val="20"/>
        </w:rPr>
        <w:t>Exhibit 31</w:t>
      </w:r>
      <w:r>
        <w:rPr>
          <w:rFonts w:ascii="Times New Roman;Times;serif" w:hAnsi="Times New Roman;Times;serif"/>
          <w:sz w:val="20"/>
        </w:rPr>
        <w:t>.</w:t>
      </w:r>
      <w:r>
        <w:rPr>
          <w:rFonts w:ascii="Times New Roman;Times;serif" w:hAnsi="Times New Roman;Times;serif"/>
          <w:b/>
          <w:sz w:val="20"/>
        </w:rPr>
        <w:t>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 Pursuant to Rules 13a-14(a) and 15d-14(a) under the Securities Exchange Act of 1934, as Adopted Pursuant to Section 302 of the Sarbanes-Oxley Act of 2002</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Travis Thompson, certify that:</w:t>
      </w:r>
    </w:p>
    <w:tbl>
      <w:tblPr>
        <w:tblW w:w="6730" w:type="dxa"/>
        <w:jc w:val="left"/>
        <w:tblInd w:w="0" w:type="dxa"/>
        <w:tblLayout w:type="fixed"/>
        <w:tblCellMar>
          <w:top w:w="0" w:type="dxa"/>
          <w:left w:w="0" w:type="dxa"/>
          <w:bottom w:w="0" w:type="dxa"/>
          <w:right w:w="0" w:type="dxa"/>
        </w:tblCellMar>
      </w:tblPr>
      <w:tblGrid>
        <w:gridCol w:w="170"/>
        <w:gridCol w:w="656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Bicycle Therapeutics plc;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tbl>
      <w:tblPr>
        <w:tblW w:w="5883" w:type="dxa"/>
        <w:jc w:val="center"/>
        <w:tblInd w:w="0" w:type="dxa"/>
        <w:tblLayout w:type="fixed"/>
        <w:tblCellMar>
          <w:top w:w="0" w:type="dxa"/>
          <w:left w:w="0" w:type="dxa"/>
          <w:bottom w:w="0" w:type="dxa"/>
          <w:right w:w="0" w:type="dxa"/>
        </w:tblCellMar>
      </w:tblPr>
      <w:tblGrid>
        <w:gridCol w:w="1711"/>
        <w:gridCol w:w="406"/>
        <w:gridCol w:w="3766"/>
      </w:tblGrid>
      <w:tr>
        <w:trPr/>
        <w:tc>
          <w:tcPr>
            <w:tcW w:w="17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July 30,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Travis Thompson</w:t>
            </w:r>
          </w:p>
        </w:tc>
      </w:tr>
      <w:tr>
        <w:trPr/>
        <w:tc>
          <w:tcPr>
            <w:tcW w:w="17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Travis Thompson</w:t>
            </w:r>
          </w:p>
        </w:tc>
      </w:tr>
      <w:tr>
        <w:trPr/>
        <w:tc>
          <w:tcPr>
            <w:tcW w:w="17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sz w:val="20"/>
        </w:rPr>
      </w:pPr>
      <w:bookmarkStart w:id="1046" w:name="bcyc-20260630xex32d1.htm"/>
      <w:bookmarkStart w:id="1047" w:name="ksbcyc20260630xex32d1"/>
      <w:bookmarkEnd w:id="1046"/>
      <w:bookmarkEnd w:id="1047"/>
      <w:r>
        <w:rPr>
          <w:rFonts w:ascii="Times New Roman;Times;serif" w:hAnsi="Times New Roman;Times;serif"/>
          <w:b/>
          <w:sz w:val="20"/>
        </w:rPr>
        <w:t>Exhibit 32</w:t>
      </w:r>
      <w:r>
        <w:rPr>
          <w:rFonts w:ascii="Times New Roman;Times;serif" w:hAnsi="Times New Roman;Times;serif"/>
          <w:sz w:val="20"/>
        </w:rPr>
        <w:t>.</w:t>
      </w:r>
      <w:r>
        <w:rPr>
          <w:rFonts w:ascii="Times New Roman;Times;serif" w:hAnsi="Times New Roman;Times;serif"/>
          <w:b/>
          <w:sz w:val="20"/>
        </w:rPr>
        <w:t>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18 U</w:t>
      </w:r>
      <w:r>
        <w:rPr>
          <w:rFonts w:ascii="Times New Roman;Times;serif" w:hAnsi="Times New Roman;Times;serif"/>
          <w:sz w:val="20"/>
        </w:rPr>
        <w:t>.</w:t>
      </w:r>
      <w:r>
        <w:rPr>
          <w:rFonts w:ascii="Times New Roman;Times;serif" w:hAnsi="Times New Roman;Times;serif"/>
          <w:b/>
          <w:sz w:val="20"/>
        </w:rPr>
        <w:t>S</w:t>
      </w:r>
      <w:r>
        <w:rPr>
          <w:rFonts w:ascii="Times New Roman;Times;serif" w:hAnsi="Times New Roman;Times;serif"/>
          <w:sz w:val="20"/>
        </w:rPr>
        <w:t>.</w:t>
      </w:r>
      <w:r>
        <w:rPr>
          <w:rFonts w:ascii="Times New Roman;Times;serif" w:hAnsi="Times New Roman;Times;serif"/>
          <w:b/>
          <w:sz w:val="20"/>
        </w:rPr>
        <w:t>C</w:t>
      </w:r>
      <w:r>
        <w:rPr>
          <w:rFonts w:ascii="Times New Roman;Times;serif" w:hAnsi="Times New Roman;Times;serif"/>
          <w:sz w:val="20"/>
        </w:rPr>
        <w:t xml:space="preserve">. </w:t>
      </w:r>
      <w:r>
        <w:rPr>
          <w:rFonts w:ascii="Times New Roman;Times;serif" w:hAnsi="Times New Roman;Times;serif"/>
          <w:b/>
          <w:sz w:val="20"/>
        </w:rPr>
        <w:t>SECTION 1350</w:t>
      </w:r>
      <w:r>
        <w:rPr>
          <w:rFonts w:ascii="Times New Roman;Times;serif" w:hAnsi="Times New Roman;Times;serif"/>
          <w:sz w:val="20"/>
        </w:rPr>
        <w:t xml:space="preserve">, </w:t>
      </w: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requirement set forth in Rule 13a-14(b) of the Securities Exchange Act of 1934, as amended, (the “Exchange Act”) and Section 1350 of Chapter 63 of Title 18 of the United States Code (18 U.S.C. §1350), Kevin Lee, Chief Executive Officer of Bicycle Therapeutics plc (the “Company”), and Travis Thompson, Chief Financial Officer of the Company, each hereby certifies that, to the best of their knowledge:</w:t>
      </w:r>
    </w:p>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10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Quarterly Report on Form 10-Q for the period ended June 30, 2026, to which this Certification is attached as Exhibit 32.1 (the “Periodic Report”), fully complies with the requirements of Section 13(a) or Section 15(d) of the Exchange Act; and</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10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Periodic Report fairly presents, in all material respects, the financial condition and results of operations of the Company.</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Dated: July 30, 2026</w:t>
      </w:r>
    </w:p>
    <w:tbl>
      <w:tblPr>
        <w:tblW w:w="2661" w:type="dxa"/>
        <w:jc w:val="center"/>
        <w:tblInd w:w="0" w:type="dxa"/>
        <w:tblLayout w:type="fixed"/>
        <w:tblCellMar>
          <w:top w:w="0" w:type="dxa"/>
          <w:left w:w="0" w:type="dxa"/>
          <w:bottom w:w="0" w:type="dxa"/>
          <w:right w:w="0" w:type="dxa"/>
        </w:tblCellMar>
      </w:tblPr>
      <w:tblGrid>
        <w:gridCol w:w="124"/>
        <w:gridCol w:w="406"/>
        <w:gridCol w:w="2131"/>
      </w:tblGrid>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13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1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Kevin Lee</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1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Kevin Lee, Ph.D., MBA</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1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13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1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Travis Thompson</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1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Travis Thompson</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1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This certification accompanies the Form 10-Q to which it relates, is not deemed filed with the Securities and Exchange Commission and is not to be incorporated by reference into any filing of Bicycle Therapeutics plc under the Securities Act of 1933, as amended, or the Securities Exchange Act of 1934, as amended (whether made before or after the date of the Form 10-Q), irrespective of any general incorporation language contained in such filing.</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NewRoman">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61612/000155837024010949/bcyc-20240630xex3d1.htm" TargetMode="External"/><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66160</Words>
  <Characters>374457</Characters>
  <CharactersWithSpaces>441705</CharactersWithSpaces>
  <Paragraphs>6342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