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7072026_050705.xml.htm"/>
      <w:bookmarkStart w:id="1" w:name="ksform407072026_05070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Hannay Michael Charles Ferguson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BICYCLE THERAPEUTICS PLC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BLOCKS A &amp; B, PORTWAY BUILDING</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X0</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CB21 6GS</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BICYCLE THERAPEUTICS PLC</w:t>
              </w:r>
            </w:hyperlink>
            <w:r>
              <w:rPr/>
              <w:t xml:space="preserve"> [ </w:t>
            </w:r>
            <w:r>
              <w:rPr>
                <w:rFonts w:ascii="Times;serif" w:hAnsi="Times;serif"/>
                <w:color w:val="0000FF"/>
                <w:sz w:val="24"/>
                <w:shd w:fill="FFFFFF" w:val="clear"/>
              </w:rPr>
              <w:t>BCYC</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PROD &amp; SUPPLY CHAIN OFF</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07/02/2026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1"/>
        <w:gridCol w:w="904"/>
        <w:gridCol w:w="773"/>
        <w:gridCol w:w="600"/>
        <w:gridCol w:w="351"/>
        <w:gridCol w:w="855"/>
        <w:gridCol w:w="462"/>
        <w:gridCol w:w="717"/>
        <w:gridCol w:w="1176"/>
        <w:gridCol w:w="1007"/>
        <w:gridCol w:w="92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1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07/02/2026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1,506</w:t>
            </w:r>
          </w:p>
        </w:tc>
        <w:tc>
          <w:tcPr>
            <w:tcW w:w="4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4.27</w:t>
            </w:r>
            <w:r>
              <w:rPr>
                <w:rFonts w:ascii="Times;serif" w:hAnsi="Times;serif"/>
                <w:color w:val="008000"/>
                <w:position w:val="7"/>
                <w:sz w:val="16"/>
                <w:sz w:val="20"/>
                <w:shd w:fill="FFFFFF" w:val="clear"/>
              </w:rPr>
              <w:t>(2)</w:t>
            </w:r>
            <w:r>
              <w:rPr/>
              <w:t xml:space="preserve"> </w:t>
            </w:r>
          </w:p>
        </w:tc>
        <w:tc>
          <w:tcPr>
            <w:tcW w:w="11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94,630</w:t>
            </w:r>
          </w:p>
        </w:tc>
        <w:tc>
          <w:tcPr>
            <w:tcW w:w="10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3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07/06/2026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255</w:t>
            </w:r>
          </w:p>
        </w:tc>
        <w:tc>
          <w:tcPr>
            <w:tcW w:w="46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4.31</w:t>
            </w:r>
            <w:r>
              <w:rPr>
                <w:rFonts w:ascii="Times;serif" w:hAnsi="Times;serif"/>
                <w:color w:val="008000"/>
                <w:position w:val="7"/>
                <w:sz w:val="16"/>
                <w:sz w:val="20"/>
                <w:shd w:fill="FFFFFF" w:val="clear"/>
              </w:rPr>
              <w:t>(3)</w:t>
            </w:r>
            <w:r>
              <w:rPr/>
              <w:t xml:space="preserve"> </w:t>
            </w:r>
          </w:p>
        </w:tc>
        <w:tc>
          <w:tcPr>
            <w:tcW w:w="11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94,375</w:t>
            </w:r>
          </w:p>
        </w:tc>
        <w:tc>
          <w:tcPr>
            <w:tcW w:w="10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number of shares required to be sold to cover the statutory tax withholding obligations in connection with the vesting and settlement of the RSUs. This sale is mandated by the Reporting Person's award agreement that requires the satisfaction of minimum statutory tax withholding obligations to be funded by a "sell to cover" transaction and does not represent a discretionary sale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$4.26 to $4.29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and (3).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$4.30 to $4.31 inclusive.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Travis Thompson,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15378" TargetMode="External"/><Relationship Id="rId5" Type="http://schemas.openxmlformats.org/officeDocument/2006/relationships/hyperlink" Target="http://www.sec.gov/cgi-bin/browse-edgar?action=getcompany&amp;CIK=000176161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749</Words>
  <Characters>4031</Characters>
  <CharactersWithSpaces>4713</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